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Обобщение правоприменительной практики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 итогам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осуществления муниципального земельного контроля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г.о. Серебряные Пруды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i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Типичные нарушения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2024 году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земельный контроль на территории городского округа Серебряные Пруды Московской области осуществляется в соответствии с положениями Земельного кодекса Российской Федерации, Федерального закона от 31.07.2020 № 248-ФЗ «О государственном контро</w:t>
      </w:r>
      <w:r>
        <w:rPr>
          <w:rFonts w:ascii="Times New Roman" w:hAnsi="Times New Roman" w:cs="Times New Roman"/>
          <w:sz w:val="28"/>
          <w:szCs w:val="28"/>
        </w:rPr>
        <w:t xml:space="preserve">ле (надзоре) и муниципальном контроле в Российской Федерации», Федерального закона от 06.10.2003 № 131-ФЗ  «Об общих принципах организации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 в Российской Федерации»,  Положения о муниципальном земельном контроле на территории городского округа Серебряные Пруды Московской области, утвержденного решением Совета депутатов городского округа Серебряные Пруды от 16.09.2021 № 651/81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Обобщение и анализ правоприменительной практики осуществления муниципального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контроля подготовлен с целью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единообразных подходов к применению органом муниципального земельного контроля обязательных требований, законодательства Российской Федерации о муниципальном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выявления типичных н</w:t>
      </w:r>
      <w:r>
        <w:rPr>
          <w:rFonts w:ascii="Times New Roman" w:hAnsi="Times New Roman" w:cs="Times New Roman"/>
          <w:sz w:val="28"/>
          <w:szCs w:val="28"/>
        </w:rPr>
        <w:t xml:space="preserve">арушений обязательных требований, причин, факторов и условий, способствующих возникновению указанных нарушений; </w:t>
      </w:r>
      <w:r>
        <w:rPr>
          <w:rFonts w:ascii="Times New Roman" w:hAnsi="Times New Roman" w:cs="Times New Roman"/>
          <w:sz w:val="28"/>
          <w:szCs w:val="28"/>
        </w:rPr>
        <w:t xml:space="preserve">анализа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Times New Roman" w:hAnsi="Times New Roman" w:cs="Times New Roman"/>
          <w:sz w:val="28"/>
          <w:szCs w:val="28"/>
        </w:rPr>
        <w:t xml:space="preserve"> подготовки предложений об актуализации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10.03.2022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336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</w:t>
      </w:r>
      <w:r>
        <w:rPr>
          <w:rFonts w:ascii="Times New Roman" w:hAnsi="Times New Roman" w:cs="Times New Roman"/>
          <w:sz w:val="28"/>
          <w:szCs w:val="28"/>
        </w:rPr>
        <w:t xml:space="preserve">Об особенностях организации и осуществления государственного контроля (на</w:t>
      </w:r>
      <w:r>
        <w:rPr>
          <w:rFonts w:ascii="Times New Roman" w:hAnsi="Times New Roman" w:cs="Times New Roman"/>
          <w:sz w:val="28"/>
          <w:szCs w:val="28"/>
        </w:rPr>
        <w:t xml:space="preserve">дзора), муниципального контроля» проведение контрольных меропри</w:t>
      </w:r>
      <w:r>
        <w:rPr>
          <w:rFonts w:ascii="Times New Roman" w:hAnsi="Times New Roman" w:cs="Times New Roman"/>
          <w:sz w:val="28"/>
          <w:szCs w:val="28"/>
        </w:rPr>
        <w:t xml:space="preserve">ятий в 2024 году было ограничено.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была 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профилактику нарушений юридическими лицами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требований, содействие укреплению законности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предупреждению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в рамках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ыли проведены следующие профилактические мероприятия: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6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проведено выездное обследование 2326 земельных участков (в том числе 2276 с помощью мобильного приложения «Проверки Подмосковья»);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666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роведено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информир</w:t>
      </w:r>
      <w:r>
        <w:rPr>
          <w:rFonts w:ascii="Times New Roman" w:hAnsi="Times New Roman" w:cs="Times New Roman"/>
          <w:sz w:val="28"/>
          <w:szCs w:val="28"/>
        </w:rPr>
        <w:t xml:space="preserve">ований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и иных заинтересованных лиц по вопросам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6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объявлено </w:t>
      </w:r>
      <w:r>
        <w:rPr>
          <w:rFonts w:ascii="Times New Roman" w:hAnsi="Times New Roman" w:cs="Times New Roman"/>
          <w:sz w:val="28"/>
          <w:szCs w:val="28"/>
        </w:rPr>
        <w:t xml:space="preserve">44</w:t>
      </w:r>
      <w:r>
        <w:rPr>
          <w:rFonts w:ascii="Times New Roman" w:hAnsi="Times New Roman" w:cs="Times New Roman"/>
          <w:sz w:val="28"/>
          <w:szCs w:val="28"/>
        </w:rPr>
        <w:t xml:space="preserve"> предостережения </w:t>
      </w:r>
      <w:r>
        <w:rPr>
          <w:rFonts w:ascii="Times New Roman" w:hAnsi="Times New Roman" w:cs="Times New Roman"/>
          <w:sz w:val="28"/>
          <w:szCs w:val="28"/>
        </w:rPr>
        <w:t xml:space="preserve">о недопустимости нарушения обязательных требований;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6"/>
        <w:numPr>
          <w:ilvl w:val="0"/>
          <w:numId w:val="3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проведе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онсультирований контролируемых лиц.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ходе проведения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органом муниципального земельного контроля в 2024 году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77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 законодательства, из которых: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а) произрастание борщевика Сосновского на земельных участках, находящихся в частной собственности –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нарушений;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б) 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 – 20 нарушений;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 неиспользование земель с/х назначения  – 29 нарушений;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г) использование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земельного участка не по целевому назначению - 17 нарушений.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/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выяв</w:t>
      </w:r>
      <w:r>
        <w:rPr>
          <w:rFonts w:ascii="Times New Roman" w:hAnsi="Times New Roman" w:cs="Times New Roman"/>
          <w:sz w:val="28"/>
          <w:szCs w:val="28"/>
        </w:rPr>
        <w:t xml:space="preserve">лены следующие часто встречающиеся</w:t>
      </w:r>
      <w:r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тр</w:t>
      </w:r>
      <w:r>
        <w:rPr>
          <w:rFonts w:ascii="Times New Roman" w:hAnsi="Times New Roman" w:cs="Times New Roman"/>
          <w:sz w:val="28"/>
          <w:szCs w:val="28"/>
        </w:rPr>
        <w:t xml:space="preserve">ебований: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Произрастание борщевика Сосновского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непроведение мероприятий по его удалени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Борщевик Сосновского представляет серьезную угрозу причинения вреда жизни и здоровью граждан, вреда животным. В соответствии со ст. 40.1 Закона Московской области от 30.12.2014 </w:t>
      </w:r>
      <w:r>
        <w:rPr>
          <w:rFonts w:ascii="Times New Roman" w:hAnsi="Times New Roman" w:cs="Times New Roman"/>
          <w:sz w:val="28"/>
          <w:szCs w:val="28"/>
        </w:rPr>
        <w:br/>
        <w:t xml:space="preserve">№ 191/2014-ОЗ «О регулировании дополнительных вопросов в сфере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в Московской области» (с изменениями от 28.11.2022г.) закреплена обязанность за правообладателями земельных участков проводить мероприятия по удалению борщевика Сосновского с земельных участков, находящихся в их собственности, владении или пользовании.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наличие на земельных участках очагов произрастания борщевика Сосновского, свидетельствующих о неиспользовании земель, может стать основанием для перерасчета налоговой ставки на земельные участки с 0,3 до 1,5 процентов.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Земельного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 лица, </w:t>
      </w:r>
      <w:r>
        <w:rPr>
          <w:rFonts w:ascii="Times New Roman" w:hAnsi="Times New Roman" w:cs="Times New Roman"/>
          <w:sz w:val="28"/>
          <w:szCs w:val="28"/>
        </w:rPr>
        <w:t xml:space="preserve">не являющиеся собственниками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обязаны: использовать земельные участки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их целевым назначением способами, которыми не должны наносить вред окружающей среде,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земле как природному объекту, своевременно приступать к использованию земельных участков;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мероприятия по охране земель</w:t>
      </w:r>
      <w:r>
        <w:rPr>
          <w:rFonts w:ascii="Times New Roman" w:hAnsi="Times New Roman" w:cs="Times New Roman"/>
          <w:sz w:val="28"/>
          <w:szCs w:val="28"/>
        </w:rPr>
        <w:t xml:space="preserve">, лесов</w:t>
      </w:r>
      <w:r>
        <w:rPr>
          <w:rFonts w:ascii="Times New Roman" w:hAnsi="Times New Roman" w:cs="Times New Roman"/>
          <w:sz w:val="28"/>
          <w:szCs w:val="28"/>
        </w:rPr>
        <w:t xml:space="preserve">, водных объектов и других природных ресурсов,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меры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требований ст. 42 ЗК РФ, влечет к административной ответственности, предусмотренной статьей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Самовольное занятие земельного участка неразграниченной государственной собственности или его части.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Статьей 25 </w:t>
      </w:r>
      <w:r>
        <w:rPr>
          <w:rFonts w:ascii="Times New Roman" w:hAnsi="Times New Roman" w:cs="Times New Roman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РФ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«Основания возникновения прав на землю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рава на земельные участки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,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 </w:t>
      </w:r>
      <w:hyperlink r:id="rId9" w:tooltip="https://www.consultant.ru/document/cons_doc_LAW_489515/" w:history="1">
        <w:r>
          <w:rPr>
            <w:rFonts w:ascii="Times New Roman" w:hAnsi="Times New Roman" w:eastAsia="Times New Roman" w:cs="Times New Roman"/>
            <w:color w:val="000000"/>
            <w:sz w:val="30"/>
            <w:szCs w:val="30"/>
            <w:highlight w:val="whit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30"/>
          <w:szCs w:val="30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«О государственной регистрации недвижимости</w:t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  <w:t xml:space="preserve">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26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РФ «Документы о правах на земельные участки» права на земельные участки, удостоверяются документами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Изменение фактических границ земельных </w:t>
      </w:r>
      <w:r>
        <w:rPr>
          <w:rFonts w:ascii="Times New Roman" w:hAnsi="Times New Roman" w:cs="Times New Roman"/>
          <w:sz w:val="28"/>
          <w:szCs w:val="28"/>
        </w:rPr>
        <w:t xml:space="preserve">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которых увели</w:t>
      </w:r>
      <w:r>
        <w:rPr>
          <w:rFonts w:ascii="Times New Roman" w:hAnsi="Times New Roman" w:cs="Times New Roman"/>
          <w:sz w:val="28"/>
          <w:szCs w:val="28"/>
        </w:rPr>
        <w:t xml:space="preserve">чивается площадь земельного участка за счет самовольного занятия земель, </w:t>
      </w:r>
      <w:r>
        <w:rPr>
          <w:rFonts w:ascii="Times New Roman" w:hAnsi="Times New Roman" w:cs="Times New Roman"/>
          <w:sz w:val="28"/>
          <w:szCs w:val="28"/>
        </w:rPr>
        <w:t xml:space="preserve">совершенное граж</w:t>
      </w:r>
      <w:r>
        <w:rPr>
          <w:rFonts w:ascii="Times New Roman" w:hAnsi="Times New Roman" w:cs="Times New Roman"/>
          <w:sz w:val="28"/>
          <w:szCs w:val="28"/>
        </w:rPr>
        <w:t xml:space="preserve">данами, юридическими лицами, индивидуальными предпринимателями рассматривается как нарушение земельного законодательства, наносящее ущерб экономике, пользователям земельных участков (ст. 7.1 Кодекса об административных правонарушений Российской Федерации).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случае, если не проведена процедура межевания границ 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участка, не определено местоположение границ земельного участка, и площадь не уточнена, участок становится объектом спора с «соседними</w:t>
      </w:r>
      <w:r>
        <w:rPr>
          <w:rFonts w:ascii="Times New Roman" w:hAnsi="Times New Roman" w:cs="Times New Roman"/>
          <w:sz w:val="28"/>
          <w:szCs w:val="28"/>
        </w:rPr>
        <w:t xml:space="preserve">» хозяйствующими субъектами, возможен также самовольный захват земельного участка или его части, что впоследствии может привести к нарушению имущественных прав пользователя земельного участка, собственника земельного участка,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субъекта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недопущения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нарушений необходимо удостовериться, что границы используемого земельного участка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тствуют границам земельного участка, указанным в ЕГРН, не пересекают границ смежных земельных участков. Если в сведениях ЕГРН отсутствуют сведения о местоположении границ используемого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участка,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инженеру за проведением работ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местоположения границ земельного участка.</w:t>
      </w:r>
      <w:r>
        <w:rPr>
          <w:rFonts w:ascii="Times New Roman" w:hAnsi="Times New Roman" w:cs="Times New Roman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земельного участка не по целевому назначению в соответствии с его принадлежностью к той или иной категории земель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(нецелевое использование земельного участка).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обязаны: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земельные участки в соответствии с их</w:t>
      </w:r>
      <w:r>
        <w:rPr>
          <w:rFonts w:ascii="Times New Roman" w:hAnsi="Times New Roman" w:cs="Times New Roman"/>
          <w:sz w:val="28"/>
          <w:szCs w:val="28"/>
        </w:rPr>
        <w:t xml:space="preserve"> целевым назначением способами</w:t>
      </w:r>
      <w:r>
        <w:rPr>
          <w:rFonts w:ascii="Times New Roman" w:hAnsi="Times New Roman" w:cs="Times New Roman"/>
          <w:sz w:val="28"/>
          <w:szCs w:val="28"/>
        </w:rPr>
        <w:t xml:space="preserve">, которые не должны наносить вред окружающей среде, в том числе земле как природному объекту; сохранять межевые, геодезические и другие специальные знаки, установленные на земельных участках в соответствии с законодательством;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по охране земель, лесов, водных объектов и других природных ресурсов,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меры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; своевременно приступать к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земельных участков в случаях, если сроки освоения земельных участков предусмотрены договорами; своевременно производить платежи за землю; </w:t>
      </w:r>
      <w:r>
        <w:rPr>
          <w:rFonts w:ascii="Times New Roman" w:hAnsi="Times New Roman" w:cs="Times New Roman"/>
          <w:sz w:val="28"/>
          <w:szCs w:val="28"/>
        </w:rPr>
        <w:t xml:space="preserve">соблюдать</w:t>
      </w:r>
      <w:r>
        <w:rPr>
          <w:rFonts w:ascii="Times New Roman" w:hAnsi="Times New Roman" w:cs="Times New Roman"/>
          <w:sz w:val="28"/>
          <w:szCs w:val="28"/>
        </w:rPr>
        <w:t xml:space="preserve"> при использовании земельных участков требования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градостроительных регламентов, строительных, экологических, </w:t>
      </w:r>
      <w:r>
        <w:rPr>
          <w:rFonts w:ascii="Times New Roman" w:hAnsi="Times New Roman" w:cs="Times New Roman"/>
          <w:sz w:val="28"/>
          <w:szCs w:val="28"/>
        </w:rPr>
        <w:t xml:space="preserve">санитарногигиенических</w:t>
      </w:r>
      <w:r>
        <w:rPr>
          <w:rFonts w:ascii="Times New Roman" w:hAnsi="Times New Roman" w:cs="Times New Roman"/>
          <w:sz w:val="28"/>
          <w:szCs w:val="28"/>
        </w:rPr>
        <w:t xml:space="preserve">, противопожарных и иных правил, нормативов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допускать</w:t>
      </w:r>
      <w:r>
        <w:rPr>
          <w:rFonts w:ascii="Times New Roman" w:hAnsi="Times New Roman" w:cs="Times New Roman"/>
          <w:sz w:val="28"/>
          <w:szCs w:val="28"/>
        </w:rPr>
        <w:t xml:space="preserve"> загрязнение, истощение</w:t>
      </w:r>
      <w:r>
        <w:rPr>
          <w:rFonts w:ascii="Times New Roman" w:hAnsi="Times New Roman" w:cs="Times New Roman"/>
          <w:sz w:val="28"/>
          <w:szCs w:val="28"/>
        </w:rPr>
        <w:t xml:space="preserve">, деградацию, порчу, уничтожение земель и почв и иное негативное воздействие на земли и почвы; не допускать </w:t>
      </w:r>
      <w:r>
        <w:rPr>
          <w:rFonts w:ascii="Times New Roman" w:hAnsi="Times New Roman" w:cs="Times New Roman"/>
          <w:sz w:val="28"/>
          <w:szCs w:val="28"/>
        </w:rPr>
        <w:t xml:space="preserve">самовольного занятия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; выполнять иные требования, предусмотренные Земельным кодексом Российской Федерации, федеральными законами.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7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установлено, что земли используются в соответствии с установленным для них </w:t>
      </w:r>
      <w:r>
        <w:rPr>
          <w:rFonts w:ascii="Times New Roman" w:hAnsi="Times New Roman" w:cs="Times New Roman"/>
          <w:sz w:val="28"/>
          <w:szCs w:val="28"/>
        </w:rPr>
        <w:t xml:space="preserve">целевым назначением</w:t>
      </w:r>
      <w:r>
        <w:rPr>
          <w:rFonts w:ascii="Times New Roman" w:hAnsi="Times New Roman" w:cs="Times New Roman"/>
          <w:sz w:val="28"/>
          <w:szCs w:val="28"/>
        </w:rPr>
        <w:t xml:space="preserve">. Правовой режим земель определяется исходя из их принадлежности к той или иной категории и разрешенного использования в соответствии с зони</w:t>
      </w:r>
      <w:r>
        <w:rPr>
          <w:rFonts w:ascii="Times New Roman" w:hAnsi="Times New Roman" w:cs="Times New Roman"/>
          <w:sz w:val="28"/>
          <w:szCs w:val="28"/>
        </w:rPr>
        <w:t xml:space="preserve">рованием территорий.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№ 540.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указывается в сведениях Единого 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реестра недвижимости. Лицо, использующее земельный участок, обязано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земельный участок в соответствии с целевым назначением и видом 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которые указаны в Едином государственном реестре недвижимости.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За использование земельного участка не в соответствии с целевым назначением и (или) установленным разрешенным использованием земельного участка частью 1 статьи 8.8 Кодек</w:t>
      </w:r>
      <w:r>
        <w:rPr>
          <w:rFonts w:ascii="Times New Roman" w:hAnsi="Times New Roman" w:cs="Times New Roman"/>
          <w:sz w:val="28"/>
          <w:szCs w:val="28"/>
        </w:rPr>
        <w:t xml:space="preserve">са Российской Федерации об административных правонарушениях предусмотрена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. В случае неисполнения предписания об устранении такого нарушения земельного законодательства земельный участок может быть изъят у его собственника.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Главой XIII Земельного кодекса Российской Федерации установлено, что лица, виновные в совершении земельных правонарушений, </w:t>
      </w:r>
      <w:r>
        <w:rPr>
          <w:rFonts w:ascii="Times New Roman" w:hAnsi="Times New Roman" w:cs="Times New Roman"/>
          <w:sz w:val="28"/>
          <w:szCs w:val="28"/>
        </w:rPr>
        <w:t xml:space="preserve">несут административную или уголовную ответственность в порядке, установленном законодательством.</w:t>
      </w:r>
      <w:r>
        <w:rPr>
          <w:rFonts w:ascii="Times New Roman" w:hAnsi="Times New Roman" w:cs="Times New Roman"/>
          <w:sz w:val="28"/>
          <w:szCs w:val="28"/>
        </w:rPr>
        <w:t xml:space="preserve"> Привле</w:t>
      </w:r>
      <w:r>
        <w:rPr>
          <w:rFonts w:ascii="Times New Roman" w:hAnsi="Times New Roman" w:cs="Times New Roman"/>
          <w:sz w:val="28"/>
          <w:szCs w:val="28"/>
        </w:rPr>
        <w:t xml:space="preserve">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(по соглашению сторон или в судебном порядке).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0"/>
        <w:ind w:firstLine="709"/>
        <w:jc w:val="both"/>
        <w:spacing w:before="0" w:beforeAutospacing="0" w:after="0" w:afterAutospacing="0"/>
        <w:rPr>
          <w:color w:val="000000"/>
          <w:highlight w:val="none"/>
        </w:rPr>
      </w:pPr>
      <w:r>
        <w:rPr>
          <w:b w:val="0"/>
          <w:bCs w:val="0"/>
          <w:color w:val="000000"/>
          <w:sz w:val="28"/>
          <w:szCs w:val="28"/>
          <w:highlight w:val="none"/>
          <w14:ligatures w14:val="none"/>
        </w:rPr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color w:val="000000"/>
          <w:sz w:val="30"/>
          <w:highlight w:val="white"/>
        </w:rPr>
        <w:t xml:space="preserve">Неиспользование земельного участка из земель сельскохозяйственного назначения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42 Земельного кодекса РФ установлены обязанности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и лиц, не являющихся собственниками земельных участков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</w:t>
      </w:r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3  статьи </w:t>
      </w:r>
      <w:r>
        <w:rPr>
          <w:rFonts w:ascii="Times New Roman" w:hAnsi="Times New Roman" w:cs="Times New Roman"/>
          <w:sz w:val="28"/>
          <w:szCs w:val="28"/>
        </w:rPr>
        <w:t xml:space="preserve">13 Земельного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обязывает собственника, арендатора и др. пользователей проводить мероприятия по защите сельскохозяйственных угодий от зарастания деревьями и кустарниками, сорными растениями.</w:t>
      </w:r>
      <w:r/>
      <w:r/>
    </w:p>
    <w:p>
      <w:pPr>
        <w:ind w:left="0" w:right="0" w:firstLine="708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Участники земельных отношений должны проводить деятельность, направленную на сохранение земли как важнейшего компонента окружающей среды и природного ресурса, сохранению почв и их плодородия, сохранять достигнутый уровень мелиорации.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еиспользование земельного участка из земель сельскохозяйственного назначения, оборот которого регулируется Федеральным </w:t>
      </w:r>
      <w:hyperlink r:id="rId10" w:tooltip="https://www.consultant.ru/document/cons_doc_LAW_482850/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от 24 июля 2002 года N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</w:t>
      </w:r>
      <w:r>
        <w:rPr>
          <w:rFonts w:ascii="Times New Roman" w:hAnsi="Times New Roman" w:cs="Times New Roman"/>
          <w:sz w:val="28"/>
          <w:szCs w:val="28"/>
        </w:rPr>
        <w:t xml:space="preserve"> Федеральным </w:t>
      </w:r>
      <w:hyperlink r:id="rId11" w:tooltip="https://www.consultant.ru/document/cons_doc_LAW_482850/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установлена частью 2 статьи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/>
        <w:rPr>
          <w:rFonts w:ascii="Times New Roman" w:hAnsi="Times New Roman" w:cs="Times New Roman"/>
          <w:b/>
          <w:bCs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может быть изъят у собственника, если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участка осуществляется с нарушением требований законодательства Российской Федерации, в частности, если участок используется не по целевому назначению, или его использование приводит к существенному снижению плодородия земель сельскохозяйственного </w:t>
      </w:r>
      <w:r>
        <w:rPr>
          <w:rFonts w:ascii="Times New Roman" w:hAnsi="Times New Roman" w:cs="Times New Roman"/>
          <w:sz w:val="28"/>
          <w:szCs w:val="28"/>
        </w:rPr>
        <w:t xml:space="preserve">назначения, либо причинению вреда окружающей среде, или на участке возведена или создана самовольная постройка и лицами, указанными в п. 2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ст. 222 Градостроительного Кодекса Российской Федерации, не выполнены предусмотренные законом обязанности по ее сносу или приведению в соответствие с установленными требованиями.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еречня типичных нарушений обязательных требований, проведенный на основании обобщения правоприменительной практики контрольно-надзорной деятельности в 2024 году: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6"/>
        <w:numPr>
          <w:ilvl w:val="0"/>
          <w:numId w:val="6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37,7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нарушений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неиспользованием земель с/х назначения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6"/>
        <w:numPr>
          <w:ilvl w:val="0"/>
          <w:numId w:val="7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26,0 % 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6"/>
        <w:numPr>
          <w:ilvl w:val="0"/>
          <w:numId w:val="6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22,0 % – нецелевое использование земельных участков;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666"/>
        <w:numPr>
          <w:ilvl w:val="0"/>
          <w:numId w:val="6"/>
        </w:num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14,3 %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произрастание борщевика Сосновского на земельных участках, находящихся в частной собственности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Основными причинами нарушений является несоблюдение  обязательных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игнорирование уведомлений и предостережений о недопущении нарушений, выданных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участков.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снижения количества нарушений обязательных требований, увеличения количества устраненных нарушений, выявленных в результате проведения профилактических мероприятий, планируется увеличить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материала на тему муниципального земельного контроля, размещаемого в СМИ (местная газета, сайт администрации) и официальных в аккаунтах администрации г.о. Серебряные Пруды в социальных сетях.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6"/>
    <w:next w:val="82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>
    <w:name w:val="Heading 1 Char"/>
    <w:basedOn w:val="827"/>
    <w:link w:val="648"/>
    <w:uiPriority w:val="9"/>
    <w:rPr>
      <w:rFonts w:ascii="Arial" w:hAnsi="Arial" w:eastAsia="Arial" w:cs="Arial"/>
      <w:sz w:val="40"/>
      <w:szCs w:val="40"/>
    </w:rPr>
  </w:style>
  <w:style w:type="paragraph" w:styleId="650">
    <w:name w:val="Heading 2"/>
    <w:basedOn w:val="826"/>
    <w:next w:val="826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>
    <w:name w:val="Heading 2 Char"/>
    <w:basedOn w:val="827"/>
    <w:link w:val="650"/>
    <w:uiPriority w:val="9"/>
    <w:rPr>
      <w:rFonts w:ascii="Arial" w:hAnsi="Arial" w:eastAsia="Arial" w:cs="Arial"/>
      <w:sz w:val="34"/>
    </w:rPr>
  </w:style>
  <w:style w:type="paragraph" w:styleId="652">
    <w:name w:val="Heading 3"/>
    <w:basedOn w:val="826"/>
    <w:next w:val="826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>
    <w:name w:val="Heading 3 Char"/>
    <w:basedOn w:val="827"/>
    <w:link w:val="652"/>
    <w:uiPriority w:val="9"/>
    <w:rPr>
      <w:rFonts w:ascii="Arial" w:hAnsi="Arial" w:eastAsia="Arial" w:cs="Arial"/>
      <w:sz w:val="30"/>
      <w:szCs w:val="30"/>
    </w:rPr>
  </w:style>
  <w:style w:type="paragraph" w:styleId="654">
    <w:name w:val="Heading 4"/>
    <w:basedOn w:val="826"/>
    <w:next w:val="826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>
    <w:name w:val="Heading 4 Char"/>
    <w:basedOn w:val="827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826"/>
    <w:next w:val="826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7">
    <w:name w:val="Heading 5 Char"/>
    <w:basedOn w:val="827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>
    <w:name w:val="Heading 6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>
    <w:name w:val="Heading 6 Char"/>
    <w:basedOn w:val="827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7 Char"/>
    <w:basedOn w:val="827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8 Char"/>
    <w:basedOn w:val="827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>
    <w:name w:val="Heading 9 Char"/>
    <w:basedOn w:val="827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826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paragraph" w:styleId="668">
    <w:name w:val="Title"/>
    <w:basedOn w:val="826"/>
    <w:next w:val="826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basedOn w:val="827"/>
    <w:link w:val="668"/>
    <w:uiPriority w:val="10"/>
    <w:rPr>
      <w:sz w:val="48"/>
      <w:szCs w:val="48"/>
    </w:rPr>
  </w:style>
  <w:style w:type="paragraph" w:styleId="670">
    <w:name w:val="Subtitle"/>
    <w:basedOn w:val="826"/>
    <w:next w:val="826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basedOn w:val="827"/>
    <w:link w:val="670"/>
    <w:uiPriority w:val="11"/>
    <w:rPr>
      <w:sz w:val="24"/>
      <w:szCs w:val="24"/>
    </w:rPr>
  </w:style>
  <w:style w:type="paragraph" w:styleId="672">
    <w:name w:val="Quote"/>
    <w:basedOn w:val="826"/>
    <w:next w:val="826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6"/>
    <w:next w:val="826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6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827"/>
    <w:link w:val="676"/>
    <w:uiPriority w:val="99"/>
  </w:style>
  <w:style w:type="paragraph" w:styleId="678">
    <w:name w:val="Footer"/>
    <w:basedOn w:val="826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827"/>
    <w:link w:val="678"/>
    <w:uiPriority w:val="99"/>
  </w:style>
  <w:style w:type="paragraph" w:styleId="680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2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6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9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3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7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7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</w:style>
  <w:style w:type="character" w:styleId="827" w:default="1">
    <w:name w:val="Default Paragraph Font"/>
    <w:uiPriority w:val="1"/>
    <w:semiHidden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 w:customStyle="1">
    <w:name w:val="Normal (Web)"/>
    <w:basedOn w:val="826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consultant.ru/document/cons_doc_LAW_489515/" TargetMode="External"/><Relationship Id="rId10" Type="http://schemas.openxmlformats.org/officeDocument/2006/relationships/hyperlink" Target="https://www.consultant.ru/document/cons_doc_LAW_482850/" TargetMode="External"/><Relationship Id="rId11" Type="http://schemas.openxmlformats.org/officeDocument/2006/relationships/hyperlink" Target="https://www.consultant.ru/document/cons_doc_LAW_48285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12</cp:revision>
  <dcterms:created xsi:type="dcterms:W3CDTF">2022-08-29T08:19:00Z</dcterms:created>
  <dcterms:modified xsi:type="dcterms:W3CDTF">2024-11-27T08:06:17Z</dcterms:modified>
</cp:coreProperties>
</file>