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docProps/core.xml" ContentType="application/vnd.openxmlformats-package.core-properties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</w:t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от____________________№_______________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/>
      <w:bookmarkStart w:id="0" w:name="OLE_LINK1"/>
      <w:r/>
      <w:bookmarkStart w:id="1" w:name="OLE_LINK2"/>
      <w:r/>
      <w:bookmarkStart w:id="2" w:name="OLE_LINK3"/>
      <w:r>
        <w:rPr>
          <w:rFonts w:ascii="Times New Roman" w:hAnsi="Times New Roman"/>
          <w:sz w:val="28"/>
          <w:szCs w:val="24"/>
        </w:rPr>
        <w:t xml:space="preserve">Ведомственная программа профилактики </w:t>
      </w:r>
      <w:bookmarkStart w:id="3" w:name="OLE_LINK22"/>
      <w:r/>
      <w:bookmarkStart w:id="4" w:name="OLE_LINK23"/>
      <w:r>
        <w:rPr>
          <w:rFonts w:ascii="Times New Roman" w:hAnsi="Times New Roman"/>
          <w:sz w:val="28"/>
          <w:szCs w:val="24"/>
        </w:rPr>
        <w:t xml:space="preserve">рисков причинения вреда (ущерба) охраняемым законом ценностям</w:t>
      </w:r>
      <w:bookmarkEnd w:id="3"/>
      <w:r/>
      <w:bookmarkEnd w:id="4"/>
      <w:r>
        <w:rPr>
          <w:rFonts w:ascii="Times New Roman" w:hAnsi="Times New Roman"/>
          <w:sz w:val="28"/>
          <w:szCs w:val="24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/>
          <w:color w:val="000000" w:themeColor="text1"/>
          <w:sz w:val="28"/>
          <w:szCs w:val="24"/>
        </w:rPr>
        <w:t xml:space="preserve">в области муниципального земельного контроля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на территории муниципального округа Серебряные Пруды</w:t>
      </w:r>
      <w:r>
        <w:rPr>
          <w:rFonts w:ascii="Times New Roman" w:hAnsi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Московской области на 202</w:t>
      </w:r>
      <w:r>
        <w:rPr>
          <w:rFonts w:ascii="Times New Roman" w:hAnsi="Times New Roman"/>
          <w:sz w:val="28"/>
          <w:szCs w:val="24"/>
        </w:rPr>
        <w:t xml:space="preserve">6 год </w:t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748"/>
        <w:ind w:right="290"/>
        <w:jc w:val="center"/>
        <w:spacing w:before="0"/>
      </w:pPr>
      <w:r>
        <w:t xml:space="preserve">ПАСПОРТ</w:t>
      </w:r>
      <w:r/>
    </w:p>
    <w:p>
      <w:pPr>
        <w:pStyle w:val="937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37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313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1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      </w:r>
            <w:r>
              <w:rPr>
                <w:color w:val="000000" w:themeColor="text1"/>
                <w:sz w:val="24"/>
              </w:rPr>
              <w:t xml:space="preserve">202</w:t>
            </w:r>
            <w:r>
              <w:rPr>
                <w:sz w:val="24"/>
              </w:rPr>
              <w:t xml:space="preserve">6 год </w:t>
            </w:r>
            <w:r>
              <w:rPr>
                <w:sz w:val="24"/>
              </w:rPr>
              <w:t xml:space="preserve">(далее - программа профилактики).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</w:t>
            </w:r>
            <w:r>
              <w:rPr>
                <w:sz w:val="24"/>
              </w:rPr>
              <w:t xml:space="preserve">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110" w:right="76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Сектор муниципального контроля</w:t>
            </w:r>
            <w:r>
              <w:rPr>
                <w:i/>
                <w:color w:val="0070c0"/>
                <w:sz w:val="24"/>
              </w:rPr>
              <w:t xml:space="preserve"> </w:t>
            </w:r>
            <w:r>
              <w:rPr>
                <w:sz w:val="24"/>
              </w:rPr>
              <w:t xml:space="preserve">(далее – </w:t>
            </w:r>
            <w:r>
              <w:rPr>
                <w:sz w:val="24"/>
                <w:szCs w:val="24"/>
              </w:rPr>
              <w:t xml:space="preserve">орган муниципального земельного контроля)</w:t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 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</w:t>
            </w:r>
            <w:r>
              <w:rPr>
                <w:sz w:val="24"/>
              </w:rPr>
              <w:t xml:space="preserve">обных привести 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39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t xml:space="preserve">о способах их соблюдения</w:t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 профилактики</w:t>
            </w:r>
            <w:r/>
          </w:p>
        </w:tc>
        <w:tc>
          <w:tcPr>
            <w:shd w:val="clear" w:color="auto" w:fill="auto"/>
            <w:tcW w:w="6313" w:type="dxa"/>
            <w:textDirection w:val="lrTb"/>
            <w:noWrap w:val="false"/>
          </w:tcPr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  <w:r/>
          </w:p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37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2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необходимых мерах по их исполнению;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Повышение квалификации кадрового состава органа муниципального земельного контроля;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Создание системы</w:t>
            </w:r>
            <w:r>
              <w:rPr>
                <w:sz w:val="24"/>
              </w:rPr>
              <w:t xml:space="preserve">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39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 Формирование одинакового понимания обязательных требований в сфере муниципального земельного 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 всех уча</w:t>
            </w:r>
            <w:r>
              <w:rPr>
                <w:sz w:val="24"/>
              </w:rPr>
              <w:t xml:space="preserve">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39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реализации программы профилактики</w:t>
            </w:r>
            <w:r/>
          </w:p>
        </w:tc>
        <w:tc>
          <w:tcPr>
            <w:shd w:val="clear" w:color="auto" w:fill="auto"/>
            <w:tcW w:w="6662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ind w:left="142" w:right="76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органа муниципального земельного контроля.</w:t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39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662" w:type="dxa"/>
            <w:textDirection w:val="lrTb"/>
            <w:noWrap w:val="false"/>
          </w:tcPr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(ущерба) охраняемым законом ценностям;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 муниципа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органа муниципального земельного контроля;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100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50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>
        <w:rPr>
          <w:sz w:val="28"/>
        </w:rPr>
        <w:t xml:space="preserve">органа муниципального земельного контроля,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1.1. Контролируемыми лицами в сфере муниципального земельного контроля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муниципального округа Серебряные Пруды Московской области являются: юридические лица, инд</w:t>
      </w:r>
      <w:r>
        <w:rPr>
          <w:rFonts w:ascii="Times New Roman" w:hAnsi="Times New Roman" w:eastAsia="Times New Roman"/>
          <w:sz w:val="28"/>
          <w:szCs w:val="28"/>
        </w:rPr>
        <w:t xml:space="preserve">ивидуальные предприниматели и граждане.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Объектами муниципального земельного контроля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/>
          <w:sz w:val="28"/>
          <w:szCs w:val="28"/>
        </w:rPr>
        <w:t xml:space="preserve"> округа Серебряные Пруды</w:t>
      </w:r>
      <w:r>
        <w:rPr>
          <w:rFonts w:ascii="Times New Roman" w:hAnsi="Times New Roman" w:eastAsia="Times New Roman"/>
          <w:sz w:val="28"/>
          <w:szCs w:val="28"/>
        </w:rPr>
        <w:t xml:space="preserve"> Московской области являются: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</w:t>
      </w:r>
      <w:r>
        <w:rPr>
          <w:rFonts w:ascii="Times New Roman" w:hAnsi="Times New Roman" w:eastAsia="Times New Roman"/>
          <w:sz w:val="28"/>
          <w:szCs w:val="28"/>
        </w:rPr>
        <w:t xml:space="preserve">м числе предъявляемые к гражданам и организациям, осуществляющим деятельность, действия (бездействие);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земли, земельные участки и (или) части земельных участков, которыми граждане и организации владеют и (или) пользуются, к которым предъявляются обязател</w:t>
      </w:r>
      <w:r>
        <w:rPr>
          <w:rFonts w:ascii="Times New Roman" w:hAnsi="Times New Roman" w:eastAsia="Times New Roman"/>
          <w:sz w:val="28"/>
          <w:szCs w:val="28"/>
        </w:rPr>
        <w:t xml:space="preserve">ьные требования.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среднем в год контролируемыми лицами совершается около 100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нарушений</w:t>
      </w:r>
      <w:r>
        <w:rPr>
          <w:rFonts w:ascii="Times New Roman" w:hAnsi="Times New Roman" w:eastAsia="Times New Roman"/>
          <w:sz w:val="28"/>
          <w:szCs w:val="28"/>
        </w:rPr>
        <w:t xml:space="preserve"> законодательства.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</w:t>
      </w:r>
      <w:r>
        <w:rPr>
          <w:rFonts w:ascii="Times New Roman" w:hAnsi="Times New Roman" w:eastAsia="Times New Roman"/>
          <w:sz w:val="28"/>
          <w:szCs w:val="28"/>
        </w:rPr>
        <w:t xml:space="preserve">тролируемых лиц.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Наиболее значимыми рисками в деятельности 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  <w:r/>
    </w:p>
    <w:p>
      <w:pPr>
        <w:pStyle w:val="926"/>
        <w:ind w:firstLine="539"/>
        <w:jc w:val="both"/>
        <w:rPr>
          <w:szCs w:val="28"/>
        </w:rPr>
      </w:pPr>
      <w:r>
        <w:rPr>
          <w:szCs w:val="28"/>
        </w:rPr>
        <w:t xml:space="preserve">2) з</w:t>
      </w:r>
      <w:r>
        <w:rPr>
          <w:szCs w:val="28"/>
        </w:rPr>
        <w:t xml:space="preserve">емельные участки, расположенные в границах или примыкающие </w:t>
      </w:r>
      <w:r>
        <w:rPr>
          <w:szCs w:val="28"/>
        </w:rPr>
        <w:br/>
        <w:t xml:space="preserve">к границе береговой полосы водных объектов общего пользования;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мелиорируемые и мелиорированные земельные участки;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земельные участки, смежные с земельными участками, 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которых расположены комплексы по разведению сельскохозяйственной птицы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(с проектной мощностью 40 тыс. птицемест и более);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 мощностью 2000 мест и более), свиноматок (с проектной мощностью 750 мест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более).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1.4. В целях предотвращения рисков причинения вреда (ущерба) охраняемым законом ценностям, предупреждения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год.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на официальном сайте администрации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/>
          <w:sz w:val="28"/>
          <w:szCs w:val="28"/>
        </w:rPr>
        <w:t xml:space="preserve"> округа Серебряные Пруды Московской области в информационно-телекоммуникац</w:t>
      </w:r>
      <w:r>
        <w:rPr>
          <w:rFonts w:ascii="Times New Roman" w:hAnsi="Times New Roman" w:eastAsia="Times New Roman"/>
          <w:sz w:val="28"/>
          <w:szCs w:val="28"/>
        </w:rPr>
        <w:t xml:space="preserve">ионной сети «Интернет»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spadm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  <w:szCs w:val="28"/>
        </w:rPr>
        <w:t xml:space="preserve">  размещены: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материалы и сведения, касающиеся осуществляемых органами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том числе размещены электронные формы для обратной связи с контролируемыми лицами;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приказ органа муниципального земельного контроля, утверждающий перечни нормативных правовых актов или их отдельных частей (положений), содержащих обязательные требовани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я, соблюдение которых оценивается при осуществлении муниципального земельного контроля;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контроля,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(https://www.spadm.ru/mc/zemlya/npa.php)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руководство по соблюдению обязательных требований с разъяснением критериев правомерного поведения, новых требований 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муниципального земельного контроля, утверждаемое приказом контрольного органа;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проверочные листы (списки контрольных вопросов), применяемые при проведении контрольных (надзорных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мероприятий (https://www.spadm.ru/mc/zemlya/npa.php);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план проведения плановых контрольных (надзорных) мероприятий контролируемых лиц;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информация о результатах контрольных (надзорных) мероприятий, также в едином реестре контрольных (надзорных) меро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приятий;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материалы публичных обсуждений с контролируемыми лицами;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со ст.</w:t>
      </w:r>
      <w:r>
        <w:rPr>
          <w:rFonts w:ascii="Times New Roman" w:hAnsi="Times New Roman" w:eastAsia="Times New Roman"/>
          <w:sz w:val="28"/>
          <w:szCs w:val="28"/>
        </w:rPr>
        <w:t xml:space="preserve"> 49 Федерального закона № 248-ФЗ в 2023 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дано 33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предостережения</w:t>
      </w:r>
      <w:r>
        <w:rPr>
          <w:rFonts w:ascii="Times New Roman" w:hAnsi="Times New Roman" w:eastAsia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в области муниципального земельного контроля.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органом муниципального земельного контроля в 2025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124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нарушения законодательства, из которых: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нарушений;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25 нарушений;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неиспользование земель с/х назначения  – 80 нарушений;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г) использование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земельного участка не по целевому назначению - 9 нарушений.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yellow"/>
        </w:rPr>
      </w:pPr>
      <w:r>
        <w:rPr>
          <w:rFonts w:ascii="Times New Roman" w:hAnsi="Times New Roman" w:eastAsia="Times New Roman"/>
          <w:color w:val="0070c0"/>
          <w:highlight w:val="yellow"/>
        </w:rPr>
      </w:r>
      <w:r>
        <w:rPr>
          <w:highlight w:val="yellow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Динамика выявленных нарушений законодательства в ходе проведения мероприятий в рамках полномочий органа муниципального земельного контроля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2021-2025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гг.</w:t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highlight w:val="white"/>
        </w:rPr>
      </w:pPr>
      <w:r>
        <w:rPr>
          <w:rFonts w:ascii="Times New Roman" w:hAnsi="Times New Roman" w:eastAsia="Times New Roman"/>
          <w:color w:val="0070c0"/>
          <w:highlight w:val="white"/>
          <w:lang w:eastAsia="ru-RU"/>
        </w:rPr>
      </w:r>
      <w:r>
        <w:rPr>
          <w:highlight w:val="white"/>
        </w:rPr>
      </w:r>
      <w:r/>
    </w:p>
    <w:p>
      <w:pPr>
        <w:spacing w:after="0" w:line="240" w:lineRule="auto"/>
        <w:shd w:val="clear" w:color="auto" w:fill="ffffff"/>
        <w:rPr>
          <w:highlight w:val="none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drawing>
          <wp:anchor xmlns:wp="http://schemas.openxmlformats.org/drawingml/2006/wordprocessingDrawing" xmlns:wp14="http://schemas.microsoft.com/office/word/2010/wordprocessingDrawing" distT="0" distB="0" distL="115200" distR="115200" simplePos="0" relativeHeight="75776" behindDoc="0" locked="0" layoutInCell="1" allowOverlap="1">
            <wp:simplePos x="0" y="0"/>
            <wp:positionH relativeFrom="column">
              <wp:posOffset>747712</wp:posOffset>
            </wp:positionH>
            <wp:positionV relativeFrom="paragraph">
              <wp:posOffset>4762</wp:posOffset>
            </wp:positionV>
            <wp:extent cx="4552948" cy="2724148"/>
            <wp:effectExtent l="4762" t="4762" r="4762" b="4762"/>
            <wp:wrapNone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lang w:eastAsia="ru-RU"/>
        </w:rPr>
      </w:r>
      <w:r>
        <w:rPr>
          <w:rFonts w:ascii="yandex-sans" w:hAnsi="yandex-sans" w:eastAsia="Times New Roman"/>
          <w:color w:val="00000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 2022 год по заданию Министерства имущественных отношений Московской области органом муниципального земельного контроля было обследовано 1044 земельных участка при штатной численности 3 сотрудника. 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2023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число земельных участков, подлежащих обследованию составило 1934 участка при той же штатной численности.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2024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инспекторами муниципального земельного контроля было обследовано  2276 участков при той же штатной численности.</w:t>
      </w:r>
      <w:r>
        <w:rPr>
          <w:highlight w:val="non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 2025 год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орган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ом муниципального земельного контроля было обследовано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2645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емельных участка при штатной численности 3 сотрудника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 была устано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влена система оценки эффективности профилактической деятельности, состоящая из следующих целевых показателей: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(опубликование на официальном сайте нормативных правовых актов) 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100% от запланированного (100%);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не достигнут и составил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90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ия в рамках муниципального земельного контроля)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80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% от запланированного (90%);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достигнут и составил 90% от запланированного (90%).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Оценка эффективно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сти реализации программы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составила 90 %</w:t>
      </w:r>
      <w:r>
        <w:rPr>
          <w:rFonts w:ascii="Times New Roman" w:hAnsi="Times New Roman" w:eastAsia="Times New Roman"/>
          <w:i/>
          <w:color w:val="0070c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определен как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«Плановый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уровень».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что способствовало повышению информативности контролируемых лиц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о действующих обязательных требованиях и сн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ижению рисков причинения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ценностям.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pStyle w:val="750"/>
        <w:ind w:left="0" w:firstLine="0"/>
        <w:jc w:val="center"/>
        <w:spacing w:before="1" w:line="295" w:lineRule="exact"/>
        <w:rPr>
          <w:sz w:val="28"/>
          <w:highlight w:val="white"/>
        </w:rPr>
      </w:pPr>
      <w:r>
        <w:rPr>
          <w:sz w:val="28"/>
          <w:highlight w:val="white"/>
        </w:rPr>
        <w:t xml:space="preserve">Раздел 2. Цели и задачи реализации программы профилактики</w:t>
      </w:r>
      <w:r>
        <w:rPr>
          <w:highlight w:val="white"/>
        </w:rPr>
      </w:r>
      <w:r/>
    </w:p>
    <w:p>
      <w:pPr>
        <w:pStyle w:val="750"/>
        <w:ind w:left="0" w:firstLine="567"/>
        <w:spacing w:before="1" w:line="295" w:lineRule="exact"/>
        <w:rPr>
          <w:sz w:val="28"/>
        </w:rPr>
      </w:pPr>
      <w:r>
        <w:rPr>
          <w:sz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/>
      <w:commentRangeStart w:id="0"/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стимулирование добросовестного соблюдения обязательных требований всеми контролируемыми лицами.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нарушениям обязательных требований 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-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их соблюдения.</w:t>
      </w:r>
      <w:commentRangeEnd w:id="0"/>
      <w:r>
        <w:commentReference w:id="0"/>
      </w:r>
      <w:r/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2.2. Устра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нение условий, причин и факторов, способных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нарушениям обязательных требований и (или) причинению вреда (ущерба) охраняемым законом ценностям.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2.3. 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их соблюдения.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2.4. 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разъяснение контролируемым лицам обязательных требований;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бязательных требований, соблюдение которых составляет предмет контроля;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ных факторов;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лиц,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информационно-телекоммуникационных технологий;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полнению.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 xml:space="preserve">на 2026 год: </w:t>
      </w:r>
      <w:r/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(2025 год),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год, 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проведенных профилактических мероприятий от запланированных: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2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4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5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6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7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утвержденных НПА, содержащих обязатель</w:t>
            </w:r>
            <w:r>
              <w:rPr>
                <w:sz w:val="20"/>
              </w:rPr>
              <w:t xml:space="preserve">ные требования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предостережений о недопустимости нарушения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8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5.8pt;height:40.7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9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8pt;height:21.9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поступивших сведений о готовящихся н</w:t>
            </w:r>
            <w:r>
              <w:rPr>
                <w:sz w:val="20"/>
              </w:rPr>
              <w:t xml:space="preserve">арушениях или признаках нарушений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охвата контролируемых лиц (включенных в ежегодный план проверок) профилактическими мероприятиями: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3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40385"/>
                      <wp:effectExtent l="0" t="0" r="6985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366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08.9pt;height:42.5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7505" cy="278130"/>
                      <wp:effectExtent l="0" t="0" r="4445" b="7620"/>
                      <wp:docPr id="1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5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8.1pt;height:21.9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6985" b="7620"/>
                      <wp:docPr id="12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01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9.4pt;height:21.9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Доля выданных предписаний при проведении плановых проверок: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0160" cy="516890"/>
                      <wp:effectExtent l="0" t="0" r="0" b="0"/>
                      <wp:docPr id="13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01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00.8pt;height:40.7pt;mso-wrap-distance-left:0.0pt;mso-wrap-distance-top:0.0pt;mso-wrap-distance-right:0.0pt;mso-wrap-distance-bottom:0.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4.4pt;height:21.9pt;mso-wrap-distance-left:0.0pt;mso-wrap-distance-top:0.0pt;mso-wrap-distance-right:0.0pt;mso-wrap-distance-bottom:0.0pt;" stroked="f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26"/>
              <w:rPr>
                <w:sz w:val="20"/>
              </w:rPr>
            </w:pPr>
            <w:r>
              <w:rPr>
                <w:sz w:val="20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24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1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40.2pt;height:36.9pt;mso-wrap-distance-left:0.0pt;mso-wrap-distance-top:0.0pt;mso-wrap-distance-right:0.0pt;mso-wrap-distance-bottom:0.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7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20.6pt;height:21.9pt;mso-wrap-distance-left:0.0pt;mso-wrap-distance-top:0.0pt;mso-wrap-distance-right:0.0pt;mso-wrap-distance-bottom:0.0pt;" stroked="f">
                      <v:path textboxrect="0,0,0,0"/>
                      <v:imagedata r:id="rId3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предп</w:t>
            </w:r>
            <w:r>
              <w:rPr>
                <w:sz w:val="20"/>
              </w:rPr>
              <w:t xml:space="preserve">исаний об устранении выявленных нарушений обязательных требований в ходе проведения проверок;</w:t>
            </w:r>
            <w:r/>
          </w:p>
          <w:p>
            <w:pPr>
              <w:pStyle w:val="926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8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40.7pt;height:21.9pt;mso-wrap-distance-left:0.0pt;mso-wrap-distance-top:0.0pt;mso-wrap-distance-right:0.0pt;mso-wrap-distance-bottom:0.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/>
          </w:p>
          <w:p>
            <w:pPr>
              <w:pStyle w:val="926"/>
              <w:rPr>
                <w:sz w:val="20"/>
              </w:rPr>
            </w:pPr>
            <w:r>
              <w:t xml:space="preserve"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</w:tr>
    </w:tbl>
    <w:p>
      <w:pPr>
        <w:pStyle w:val="750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Раздел 3. Перечень профилактических мероприятий, сроки (периодичность) их проведения</w:t>
      </w:r>
      <w:r/>
    </w:p>
    <w:p>
      <w:pPr>
        <w:pStyle w:val="928"/>
        <w:ind w:left="85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3.1. Перечень профилактических мероприятий: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объявление предостережения;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консультирование;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профилактический визит;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самообследование.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 проведения мероприятий (приложение 1).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Информирование.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Информирование осу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Орган муниципального зем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размещает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поддерживает в актуальном состоянии на своем официальном сайте следующую информацию: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муниципального земельного контроля (на постоянной основе);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020 N 247-ФЗ «Об обязательных требованиях в Российской Федерации»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перечень объектов 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25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9) план проведения плановых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контрольных (надзорных) мероприятий органа муниципального земельного контроля (при проведении таких мероприятий) (ежегодно до 1 декабря);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руемого лица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(ежегодно до 1 декабря);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13) доклады о муниципальном земельном контрол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ежегодно до 1 декабря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ий, представленных контролируемыми лицами (при ее наличии) (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). 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Объявление предостережения.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осуще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мероприятия: постоянно.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Консультирование.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осуществляется в устной или письменной форме</w:t>
      </w:r>
      <w:r>
        <w:rPr>
          <w:rFonts w:ascii="Times New Roman" w:hAnsi="Times New Roman" w:eastAsia="Times New Roman"/>
          <w:i/>
          <w:color w:val="0070c0"/>
          <w:sz w:val="28"/>
          <w:szCs w:val="28"/>
          <w:lang w:eastAsia="ru-RU"/>
        </w:rPr>
        <w:t xml:space="preserve">.</w:t>
      </w:r>
      <w:r/>
    </w:p>
    <w:p>
      <w:pPr>
        <w:pStyle w:val="950"/>
        <w:ind w:left="567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50"/>
        <w:numPr>
          <w:ilvl w:val="0"/>
          <w:numId w:val="17"/>
        </w:numPr>
        <w:ind w:left="0" w:firstLine="567"/>
        <w:jc w:val="both"/>
        <w:spacing w:after="0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осуществление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осуществления мероприятий муниципального земельного контроля;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обжалования действий (бездействия) должностных лиц органа муниципального земельного контроля;</w:t>
      </w:r>
      <w:r/>
    </w:p>
    <w:p>
      <w:pPr>
        <w:pStyle w:val="928"/>
        <w:numPr>
          <w:ilvl w:val="0"/>
          <w:numId w:val="17"/>
        </w:numPr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3.5.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Профилактический визит.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в определенной сфере, а также в отношении объ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ектов контроля, отнесенных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к категориям чрезвычайно высокого, высокого и значительного риска.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течение года по необходимости.</w:t>
      </w:r>
      <w:r/>
    </w:p>
    <w:p>
      <w:pPr>
        <w:pStyle w:val="928"/>
        <w:ind w:left="0" w:firstLine="567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3.6.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Самообследование</w:t>
      </w:r>
      <w:r/>
    </w:p>
    <w:p>
      <w:pPr>
        <w:pStyle w:val="928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ование проводится в соответствии со ст. 51 Федерального закона № 248-ФЗ.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рамках самообследования также обеспечивается воз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можность получения контролируемыми лицами сведений о соответствии принадлежащих им объектов контроля критериям риска.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использованием одного из способов, указанных на официальном сайте, и может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касаться как контролируемого лица в целом, так и его обособленных подразделений, иных объектов.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ими обязательных требований, по итогам самообследования вправе принять декларацию соблюдения обязател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ьных требований.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осуществляет ее регистрацию и размещает на своем официальном сайте. </w:t>
      </w:r>
      <w:r/>
    </w:p>
    <w:p>
      <w:pPr>
        <w:pStyle w:val="928"/>
        <w:ind w:left="851" w:firstLine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50"/>
        <w:ind w:left="0" w:firstLine="0"/>
        <w:jc w:val="center"/>
        <w:spacing w:line="295" w:lineRule="exact"/>
        <w:rPr>
          <w:sz w:val="28"/>
        </w:rPr>
      </w:pPr>
      <w:r>
        <w:rPr>
          <w:sz w:val="28"/>
        </w:rPr>
        <w:t xml:space="preserve">Раздел 4. </w:t>
      </w:r>
      <w:r>
        <w:rPr>
          <w:sz w:val="28"/>
        </w:rPr>
        <w:t xml:space="preserve">Показатели результативности и эффективности программы профилактики</w:t>
      </w:r>
      <w:r/>
    </w:p>
    <w:p>
      <w:pPr>
        <w:pStyle w:val="928"/>
        <w:ind w:left="1080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4.1.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Эффективность реализации программы профилактики оценивается: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 повышением эффективности системы профилактики нарушений обязательных требований;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 повышением уровня правовой грамотности контролируемых </w:t>
      </w:r>
      <w:r>
        <w:rPr>
          <w:color w:val="000000"/>
          <w:sz w:val="28"/>
          <w:szCs w:val="28"/>
          <w:lang w:eastAsia="ru-RU" w:bidi="ar-SA"/>
        </w:rPr>
        <w:br/>
        <w:t xml:space="preserve">лиц в вопросах исполнения обязательных требований, степенью </w:t>
      </w:r>
      <w:r>
        <w:rPr>
          <w:color w:val="000000"/>
          <w:sz w:val="28"/>
          <w:szCs w:val="28"/>
          <w:lang w:eastAsia="ru-RU" w:bidi="ar-SA"/>
        </w:rPr>
        <w:br/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</w:t>
      </w:r>
      <w:r>
        <w:rPr>
          <w:color w:val="000000"/>
          <w:sz w:val="28"/>
          <w:szCs w:val="28"/>
          <w:lang w:eastAsia="ru-RU" w:bidi="ar-SA"/>
        </w:rPr>
        <w:t xml:space="preserve">ия проверок, правах контролируемых лиц 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 снижением количества правонарушений при осуществлении контролируемыми лицами своей деятельности;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4) понятностью обязательных требований, обеспечивающей их однозначное толкование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и </w:t>
      </w:r>
      <w:r>
        <w:rPr>
          <w:sz w:val="28"/>
          <w:szCs w:val="28"/>
          <w:lang w:eastAsia="ru-RU" w:bidi="ar-SA"/>
        </w:rPr>
        <w:t xml:space="preserve">органа муниципального земельного контроля;</w:t>
      </w:r>
      <w:r/>
    </w:p>
    <w:p>
      <w:pPr>
        <w:pStyle w:val="937"/>
        <w:ind w:left="0" w:firstLine="567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5) вовлечением контролируемых лиц в регулярное взаимодействие </w:t>
      </w:r>
      <w:r>
        <w:rPr>
          <w:sz w:val="28"/>
          <w:szCs w:val="28"/>
          <w:lang w:eastAsia="ru-RU" w:bidi="ar-SA"/>
        </w:rPr>
        <w:br/>
        <w:t xml:space="preserve">с органом муниципального земельного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4.2.</w:t>
      </w:r>
      <w:r>
        <w:rPr>
          <w:color w:val="000000"/>
          <w:sz w:val="28"/>
          <w:szCs w:val="28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</w:t>
      </w:r>
      <w:r>
        <w:rPr>
          <w:color w:val="000000"/>
          <w:sz w:val="28"/>
          <w:szCs w:val="28"/>
          <w:lang w:eastAsia="ru-RU" w:bidi="ar-SA"/>
        </w:rPr>
        <w:t xml:space="preserve">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4.3.</w:t>
      </w:r>
      <w:r>
        <w:rPr>
          <w:color w:val="5b9bd5" w:themeColor="accent1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Ключевыми направлениями социологи</w:t>
      </w:r>
      <w:r>
        <w:rPr>
          <w:color w:val="000000"/>
          <w:sz w:val="28"/>
          <w:szCs w:val="28"/>
          <w:lang w:eastAsia="ru-RU" w:bidi="ar-SA"/>
        </w:rPr>
        <w:t xml:space="preserve">ческих исследований являются: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1) информированность контролируемых лиц об обязательных требованиях, </w:t>
      </w:r>
      <w:r>
        <w:rPr>
          <w:color w:val="000000"/>
          <w:sz w:val="28"/>
          <w:szCs w:val="28"/>
          <w:lang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color w:val="000000"/>
          <w:sz w:val="28"/>
          <w:szCs w:val="28"/>
          <w:lang w:eastAsia="ru-RU" w:bidi="ar-SA"/>
        </w:rPr>
        <w:br/>
        <w:t xml:space="preserve">о порядке проведения контрольных (надзорных) мероприятий, правах контролируемых лиц </w:t>
      </w:r>
      <w:r>
        <w:rPr>
          <w:color w:val="000000"/>
          <w:sz w:val="28"/>
          <w:szCs w:val="28"/>
          <w:lang w:eastAsia="ru-RU" w:bidi="ar-SA"/>
        </w:rPr>
        <w:t xml:space="preserve">в ходе проверки;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3) вовлечение контролируемых лиц в регулярное взаимодействие </w:t>
      </w:r>
      <w:r>
        <w:rPr>
          <w:color w:val="000000"/>
          <w:sz w:val="28"/>
          <w:szCs w:val="28"/>
          <w:lang w:eastAsia="ru-RU" w:bidi="ar-SA"/>
        </w:rPr>
        <w:br/>
        <w:t xml:space="preserve">с органом муниципального зем</w:t>
      </w:r>
      <w:r>
        <w:rPr>
          <w:color w:val="000000"/>
          <w:sz w:val="28"/>
          <w:szCs w:val="28"/>
          <w:lang w:eastAsia="ru-RU" w:bidi="ar-SA"/>
        </w:rPr>
        <w:t xml:space="preserve">ельного контроля.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4.4. Оценка эффективности реализации Программы профилактики рассчитывается ежегодно (по итогам календарного года).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</w:t>
      </w:r>
      <w:r>
        <w:rPr>
          <w:color w:val="000000"/>
          <w:sz w:val="28"/>
          <w:szCs w:val="28"/>
          <w:lang w:eastAsia="ru-RU" w:bidi="ar-SA"/>
        </w:rPr>
        <w:t xml:space="preserve">ормуле:</w:t>
      </w:r>
      <w:r/>
    </w:p>
    <w:p>
      <w:pPr>
        <w:pStyle w:val="937"/>
        <w:ind w:left="0"/>
        <w:jc w:val="center"/>
        <w:rPr>
          <w:color w:val="000000"/>
          <w:sz w:val="28"/>
          <w:szCs w:val="28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9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i - номер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В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отклонение фактического значения i-го показателя от планового значения </w:t>
      </w:r>
      <w:r>
        <w:rPr>
          <w:color w:val="000000"/>
          <w:sz w:val="28"/>
          <w:szCs w:val="28"/>
          <w:lang w:eastAsia="ru-RU" w:bidi="ar-SA"/>
        </w:rPr>
        <w:br/>
        <w:t xml:space="preserve">i-го показателя;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Ф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 </w:t>
      </w:r>
      <w:r>
        <w:rPr>
          <w:color w:val="000000"/>
          <w:sz w:val="28"/>
          <w:szCs w:val="28"/>
          <w:lang w:eastAsia="ru-RU" w:bidi="ar-SA"/>
        </w:rPr>
        <w:t xml:space="preserve">- фактическое значение i-го показателя профилактических мероприятий;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П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- плановое значение i-го показател</w:t>
      </w:r>
      <w:r>
        <w:rPr>
          <w:color w:val="000000"/>
          <w:sz w:val="28"/>
          <w:szCs w:val="28"/>
          <w:lang w:eastAsia="ru-RU" w:bidi="ar-SA"/>
        </w:rPr>
        <w:t xml:space="preserve">я профилактических мероприятий.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2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97.0pt;height:40.7pt;mso-wrap-distance-left:0.0pt;mso-wrap-distance-top:0.0pt;mso-wrap-distance-right:0.0pt;mso-wrap-distance-bottom:0.0pt;" stroked="f">
                <v:path textboxrect="0,0,0,0"/>
                <v:imagedata r:id="rId33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где: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при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21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53.8pt;height:21.9pt;mso-wrap-distance-left:0.0pt;mso-wrap-distance-top:0.0pt;mso-wrap-distance-right:0.0pt;mso-wrap-distance-bottom:0.0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, </w:t>
      </w:r>
      <w:r>
        <w:rPr>
          <w:color w:val="000000"/>
          <w:sz w:val="28"/>
          <w:szCs w:val="28"/>
          <w:lang w:eastAsia="ru-RU" w:bidi="ar-SA"/>
        </w:rPr>
        <w:t xml:space="preserve">то</w: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>
        <w:rPr>
          <w:position w:val="-9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2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65.1pt;height:21.9pt;mso-wrap-distance-left:0.0pt;mso-wrap-distance-top:0.0pt;mso-wrap-distance-right:0.0pt;mso-wrap-distance-bottom:0.0pt;" stroked="f">
                <v:path textboxrect="0,0,0,0"/>
                <v:imagedata r:id="rId35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.</w:t>
      </w:r>
      <w:r/>
    </w:p>
    <w:p>
      <w:pPr>
        <w:pStyle w:val="937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Оценка эффективности</w:t>
      </w:r>
      <w:r>
        <w:rPr>
          <w:color w:val="000000"/>
          <w:sz w:val="28"/>
          <w:szCs w:val="28"/>
          <w:lang w:eastAsia="ru-RU" w:bidi="ar-SA"/>
        </w:rPr>
        <w:t xml:space="preserve"> реализации Программы профилактики рассчитывается по следующей формуле:</w:t>
      </w:r>
      <w:r/>
    </w:p>
    <w:p>
      <w:pPr>
        <w:pStyle w:val="937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position w:val="-28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23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79.5pt;height:40.7pt;mso-wrap-distance-left:0.0pt;mso-wrap-distance-top:0.0pt;mso-wrap-distance-right:0.0pt;mso-wrap-distance-bottom:0.0pt;" stroked="f">
                <v:path textboxrect="0,0,0,0"/>
                <v:imagedata r:id="rId36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где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Пэф - Итоговая оценка эффективности реализации Программы профилактики;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position w:val="-12"/>
          <w:sz w:val="28"/>
          <w:szCs w:val="28"/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24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35.0pt;height:24.4pt;mso-wrap-distance-left:0.0pt;mso-wrap-distance-top:0.0pt;mso-wrap-distance-right:0.0pt;mso-wrap-distance-bottom:0.0pt;" stroked="f">
                <v:path textboxrect="0,0,0,0"/>
                <v:imagedata r:id="rId37" o:title=""/>
              </v:shape>
            </w:pict>
          </mc:Fallback>
        </mc:AlternateContent>
      </w:r>
      <w:r>
        <w:rPr>
          <w:color w:val="000000"/>
          <w:sz w:val="28"/>
          <w:szCs w:val="28"/>
          <w:lang w:eastAsia="ru-RU" w:bidi="ar-SA"/>
        </w:rPr>
        <w:t xml:space="preserve"> - сумма отклонений фактических значений показателей Программы профилактики</w:t>
      </w:r>
      <w:r>
        <w:rPr>
          <w:color w:val="000000"/>
          <w:sz w:val="28"/>
          <w:szCs w:val="28"/>
          <w:lang w:eastAsia="ru-RU" w:bidi="ar-SA"/>
        </w:rPr>
        <w:t xml:space="preserve"> от плановых значений по итогам календарного года;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N - общее количество показателей Программы профилактики.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В случае если оценка эффективности реализации Программы профилактики более 100 %, то считать Пэф равным 100 %.</w:t>
      </w:r>
      <w:r/>
    </w:p>
    <w:p>
      <w:pPr>
        <w:pStyle w:val="937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По итогам оценки эффективности реализ</w:t>
      </w:r>
      <w:r>
        <w:rPr>
          <w:color w:val="000000"/>
          <w:sz w:val="28"/>
          <w:szCs w:val="28"/>
          <w:lang w:eastAsia="ru-RU" w:bidi="ar-SA"/>
        </w:rPr>
        <w:t xml:space="preserve">ации Программы профилактики определяется уровень профилактической работы органа муниципального земельного контроля.</w:t>
      </w:r>
      <w:r/>
    </w:p>
    <w:p>
      <w:pPr>
        <w:pStyle w:val="937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  <w:r>
        <w:rPr>
          <w:rFonts w:ascii="yandex-sans" w:hAnsi="yandex-sans"/>
          <w:color w:val="000000"/>
          <w:sz w:val="28"/>
          <w:szCs w:val="28"/>
          <w:lang w:eastAsia="ru-RU" w:bidi="ar-SA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программы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органа муниципального земельного контроля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37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750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/>
      <w:bookmarkStart w:id="6" w:name="_GoBack"/>
      <w:r/>
      <w:bookmarkEnd w:id="6"/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сектора муниципального контроля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2026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5431" w:type="dxa"/>
        <w:tblInd w:w="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4807"/>
        <w:gridCol w:w="2139"/>
        <w:gridCol w:w="2551"/>
        <w:gridCol w:w="1559"/>
        <w:gridCol w:w="1540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 Мероприятие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профилакти-ческого мероприятия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Ответствен-ный исполнитель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принятия или внесения из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менений (ежеквартально)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раздел на сайте 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0070c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Не реже 2 раз в год (в течение 30 дней со дня окончания полугодия)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 контролируемых лиц пу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 мере внесения изменений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.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результатов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контрольно-надзорных мероприятий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Постоянно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57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предпринимателям, гражданам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поступления от контролируемых лиц соответствующих обращений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Указываются конкретные даты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</w:t>
            </w:r>
            <w:r>
              <w:rPr>
                <w:rFonts w:ascii="Times New Roman" w:hAnsi="Times New Roman" w:eastAsia="Times New Roman"/>
                <w:sz w:val="20"/>
              </w:rPr>
              <w:t xml:space="preserve"> информации об их правах и обязанностях при проведении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чрезвычайно высокого, высокого и значительного риска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года по необходимости (при наличии)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органа муниципального земельного контроля 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До 1 декабря Ежегодно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сектора муниципального земельного контроля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поступления  вопросов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07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nitsynAlOl" w:date="2022-09-29T11:15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 формат списка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75A0C46" w16cex:dateUtc="2022-09-29T08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5A0C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yandex-sans">
    <w:panose1 w:val="02000603000000000000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5 Char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57"/>
    <w:link w:val="770"/>
    <w:uiPriority w:val="10"/>
    <w:rPr>
      <w:sz w:val="48"/>
      <w:szCs w:val="48"/>
    </w:rPr>
  </w:style>
  <w:style w:type="character" w:styleId="742">
    <w:name w:val="Subtitle Char"/>
    <w:basedOn w:val="757"/>
    <w:link w:val="772"/>
    <w:uiPriority w:val="11"/>
    <w:rPr>
      <w:sz w:val="24"/>
      <w:szCs w:val="24"/>
    </w:rPr>
  </w:style>
  <w:style w:type="character" w:styleId="743">
    <w:name w:val="Quote Char"/>
    <w:link w:val="774"/>
    <w:uiPriority w:val="29"/>
    <w:rPr>
      <w:i/>
    </w:rPr>
  </w:style>
  <w:style w:type="character" w:styleId="744">
    <w:name w:val="Intense Quote Char"/>
    <w:link w:val="776"/>
    <w:uiPriority w:val="30"/>
    <w:rPr>
      <w:i/>
    </w:rPr>
  </w:style>
  <w:style w:type="character" w:styleId="745">
    <w:name w:val="Footnote Text Char"/>
    <w:link w:val="906"/>
    <w:uiPriority w:val="99"/>
    <w:rPr>
      <w:sz w:val="18"/>
    </w:rPr>
  </w:style>
  <w:style w:type="character" w:styleId="746">
    <w:name w:val="Endnote Text Char"/>
    <w:link w:val="909"/>
    <w:uiPriority w:val="99"/>
    <w:rPr>
      <w:sz w:val="20"/>
    </w:rPr>
  </w:style>
  <w:style w:type="paragraph" w:styleId="74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8">
    <w:name w:val="Heading 1"/>
    <w:basedOn w:val="747"/>
    <w:link w:val="934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749">
    <w:name w:val="Heading 2"/>
    <w:basedOn w:val="747"/>
    <w:link w:val="940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750">
    <w:name w:val="Heading 3"/>
    <w:basedOn w:val="747"/>
    <w:link w:val="935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751">
    <w:name w:val="Heading 4"/>
    <w:basedOn w:val="747"/>
    <w:link w:val="941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paragraph" w:styleId="752">
    <w:name w:val="Heading 5"/>
    <w:basedOn w:val="747"/>
    <w:next w:val="747"/>
    <w:link w:val="7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4">
    <w:name w:val="Heading 7"/>
    <w:basedOn w:val="747"/>
    <w:next w:val="747"/>
    <w:link w:val="7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</w:style>
  <w:style w:type="paragraph" w:styleId="770">
    <w:name w:val="Title"/>
    <w:basedOn w:val="747"/>
    <w:next w:val="747"/>
    <w:link w:val="771"/>
    <w:uiPriority w:val="10"/>
    <w:qFormat/>
    <w:pPr>
      <w:contextualSpacing/>
      <w:spacing w:before="300"/>
    </w:pPr>
    <w:rPr>
      <w:sz w:val="48"/>
      <w:szCs w:val="48"/>
    </w:rPr>
  </w:style>
  <w:style w:type="character" w:styleId="771" w:customStyle="1">
    <w:name w:val="Название Знак"/>
    <w:basedOn w:val="757"/>
    <w:link w:val="770"/>
    <w:uiPriority w:val="10"/>
    <w:rPr>
      <w:sz w:val="48"/>
      <w:szCs w:val="48"/>
    </w:rPr>
  </w:style>
  <w:style w:type="paragraph" w:styleId="772">
    <w:name w:val="Subtitle"/>
    <w:basedOn w:val="747"/>
    <w:next w:val="747"/>
    <w:link w:val="773"/>
    <w:uiPriority w:val="11"/>
    <w:qFormat/>
    <w:pPr>
      <w:spacing w:before="200"/>
    </w:pPr>
    <w:rPr>
      <w:sz w:val="24"/>
      <w:szCs w:val="24"/>
    </w:rPr>
  </w:style>
  <w:style w:type="character" w:styleId="773" w:customStyle="1">
    <w:name w:val="Подзаголовок Знак"/>
    <w:basedOn w:val="757"/>
    <w:link w:val="772"/>
    <w:uiPriority w:val="11"/>
    <w:rPr>
      <w:sz w:val="24"/>
      <w:szCs w:val="24"/>
    </w:rPr>
  </w:style>
  <w:style w:type="paragraph" w:styleId="774">
    <w:name w:val="Quote"/>
    <w:basedOn w:val="747"/>
    <w:next w:val="747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7"/>
    <w:next w:val="747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57"/>
    <w:uiPriority w:val="99"/>
  </w:style>
  <w:style w:type="character" w:styleId="779" w:customStyle="1">
    <w:name w:val="Footer Char"/>
    <w:basedOn w:val="757"/>
    <w:uiPriority w:val="99"/>
  </w:style>
  <w:style w:type="character" w:styleId="780" w:customStyle="1">
    <w:name w:val="Caption Char"/>
    <w:uiPriority w:val="99"/>
  </w:style>
  <w:style w:type="table" w:styleId="781" w:customStyle="1">
    <w:name w:val="Table Grid Light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5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5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5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5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5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5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5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5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5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5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5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5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5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5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5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5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5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5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5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5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5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basedOn w:val="75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basedOn w:val="75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basedOn w:val="75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basedOn w:val="75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basedOn w:val="75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basedOn w:val="75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75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5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5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5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5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5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5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5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5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5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5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5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5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5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5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5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5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5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5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5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5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5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5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5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5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basedOn w:val="75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basedOn w:val="75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basedOn w:val="75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basedOn w:val="75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basedOn w:val="75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basedOn w:val="75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5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5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5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5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5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5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5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5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5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5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5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5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5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5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5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6">
    <w:name w:val="footnote text"/>
    <w:basedOn w:val="747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57"/>
    <w:uiPriority w:val="99"/>
    <w:unhideWhenUsed/>
    <w:rPr>
      <w:vertAlign w:val="superscript"/>
    </w:rPr>
  </w:style>
  <w:style w:type="paragraph" w:styleId="909">
    <w:name w:val="endnote text"/>
    <w:basedOn w:val="747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57"/>
    <w:uiPriority w:val="99"/>
    <w:semiHidden/>
    <w:unhideWhenUsed/>
    <w:rPr>
      <w:vertAlign w:val="superscript"/>
    </w:rPr>
  </w:style>
  <w:style w:type="paragraph" w:styleId="912">
    <w:name w:val="toc 1"/>
    <w:basedOn w:val="747"/>
    <w:next w:val="747"/>
    <w:uiPriority w:val="39"/>
    <w:unhideWhenUsed/>
    <w:pPr>
      <w:spacing w:after="57"/>
    </w:pPr>
  </w:style>
  <w:style w:type="paragraph" w:styleId="913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14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15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16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17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18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19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20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47"/>
    <w:next w:val="747"/>
    <w:uiPriority w:val="99"/>
    <w:unhideWhenUsed/>
    <w:pPr>
      <w:spacing w:after="0"/>
    </w:pPr>
  </w:style>
  <w:style w:type="paragraph" w:styleId="923">
    <w:name w:val="Balloon Text"/>
    <w:basedOn w:val="747"/>
    <w:link w:val="9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24" w:customStyle="1">
    <w:name w:val="Текст выноски Знак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>
    <w:name w:val="Hyperlink"/>
    <w:uiPriority w:val="99"/>
    <w:unhideWhenUsed/>
    <w:rPr>
      <w:color w:val="0000ff"/>
      <w:u w:val="single"/>
    </w:rPr>
  </w:style>
  <w:style w:type="paragraph" w:styleId="926" w:customStyle="1">
    <w:name w:val="ConsPlusNormal"/>
    <w:qFormat/>
    <w:pPr>
      <w:widowControl w:val="off"/>
    </w:pPr>
    <w:rPr>
      <w:rFonts w:ascii="Times New Roman" w:hAnsi="Times New Roman" w:eastAsia="Times New Roman"/>
      <w:sz w:val="28"/>
    </w:rPr>
  </w:style>
  <w:style w:type="paragraph" w:styleId="927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28" w:customStyle="1">
    <w:name w:val="Цветной список - Акцент 11"/>
    <w:basedOn w:val="747"/>
    <w:uiPriority w:val="34"/>
    <w:qFormat/>
    <w:pPr>
      <w:contextualSpacing/>
      <w:ind w:left="720"/>
    </w:pPr>
  </w:style>
  <w:style w:type="paragraph" w:styleId="929">
    <w:name w:val="Header"/>
    <w:basedOn w:val="747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757"/>
    <w:link w:val="929"/>
    <w:uiPriority w:val="99"/>
  </w:style>
  <w:style w:type="paragraph" w:styleId="931">
    <w:name w:val="Footer"/>
    <w:basedOn w:val="747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757"/>
    <w:link w:val="931"/>
    <w:uiPriority w:val="99"/>
  </w:style>
  <w:style w:type="table" w:styleId="933">
    <w:name w:val="Table Grid"/>
    <w:basedOn w:val="75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Заголовок 1 Знак"/>
    <w:link w:val="748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35" w:customStyle="1">
    <w:name w:val="Заголовок 3 Знак"/>
    <w:link w:val="750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36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7">
    <w:name w:val="Body Text"/>
    <w:basedOn w:val="747"/>
    <w:link w:val="938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38" w:customStyle="1">
    <w:name w:val="Основной текст Знак"/>
    <w:link w:val="937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39" w:customStyle="1">
    <w:name w:val="Table Paragraph"/>
    <w:basedOn w:val="74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40" w:customStyle="1">
    <w:name w:val="Заголовок 2 Знак"/>
    <w:link w:val="749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41" w:customStyle="1">
    <w:name w:val="Заголовок 4 Знак"/>
    <w:link w:val="751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42">
    <w:name w:val="annotation reference"/>
    <w:uiPriority w:val="99"/>
    <w:semiHidden/>
    <w:unhideWhenUsed/>
    <w:rPr>
      <w:sz w:val="16"/>
      <w:szCs w:val="16"/>
    </w:rPr>
  </w:style>
  <w:style w:type="paragraph" w:styleId="943">
    <w:name w:val="annotation text"/>
    <w:basedOn w:val="747"/>
    <w:link w:val="944"/>
    <w:uiPriority w:val="99"/>
    <w:semiHidden/>
    <w:unhideWhenUsed/>
    <w:rPr>
      <w:sz w:val="20"/>
      <w:szCs w:val="20"/>
    </w:rPr>
  </w:style>
  <w:style w:type="character" w:styleId="944" w:customStyle="1">
    <w:name w:val="Текст примечания Знак"/>
    <w:link w:val="943"/>
    <w:uiPriority w:val="99"/>
    <w:semiHidden/>
    <w:rPr>
      <w:lang w:eastAsia="en-US"/>
    </w:rPr>
  </w:style>
  <w:style w:type="paragraph" w:styleId="945">
    <w:name w:val="annotation subject"/>
    <w:basedOn w:val="943"/>
    <w:next w:val="943"/>
    <w:link w:val="946"/>
    <w:uiPriority w:val="99"/>
    <w:semiHidden/>
    <w:unhideWhenUsed/>
    <w:rPr>
      <w:b/>
      <w:bCs/>
    </w:rPr>
  </w:style>
  <w:style w:type="character" w:styleId="946" w:customStyle="1">
    <w:name w:val="Тема примечания Знак"/>
    <w:link w:val="945"/>
    <w:uiPriority w:val="99"/>
    <w:semiHidden/>
    <w:rPr>
      <w:b/>
      <w:bCs/>
      <w:lang w:eastAsia="en-US"/>
    </w:rPr>
  </w:style>
  <w:style w:type="paragraph" w:styleId="947">
    <w:name w:val="HTML Preformatted"/>
    <w:basedOn w:val="747"/>
    <w:link w:val="948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48" w:customStyle="1">
    <w:name w:val="Стандартный HTML Знак"/>
    <w:link w:val="947"/>
    <w:uiPriority w:val="99"/>
    <w:rPr>
      <w:rFonts w:ascii="Courier New" w:hAnsi="Courier New" w:eastAsia="Times New Roman" w:cs="Courier New"/>
    </w:rPr>
  </w:style>
  <w:style w:type="character" w:styleId="949">
    <w:name w:val="Strong"/>
    <w:uiPriority w:val="22"/>
    <w:qFormat/>
    <w:rPr>
      <w:b/>
      <w:bCs/>
    </w:rPr>
  </w:style>
  <w:style w:type="paragraph" w:styleId="950">
    <w:name w:val="List Paragraph"/>
    <w:basedOn w:val="747"/>
    <w:uiPriority w:val="34"/>
    <w:qFormat/>
    <w:pPr>
      <w:contextualSpacing/>
      <w:ind w:left="720"/>
    </w:pPr>
  </w:style>
  <w:style w:type="paragraph" w:styleId="951">
    <w:name w:val="Caption"/>
    <w:basedOn w:val="747"/>
    <w:next w:val="74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hart" Target="charts/chart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Relationship Id="rId32" Type="http://schemas.openxmlformats.org/officeDocument/2006/relationships/image" Target="media/image17.wmf"/><Relationship Id="rId33" Type="http://schemas.openxmlformats.org/officeDocument/2006/relationships/image" Target="media/image18.wmf"/><Relationship Id="rId34" Type="http://schemas.openxmlformats.org/officeDocument/2006/relationships/image" Target="media/image19.wmf"/><Relationship Id="rId35" Type="http://schemas.openxmlformats.org/officeDocument/2006/relationships/image" Target="media/image20.wmf"/><Relationship Id="rId36" Type="http://schemas.openxmlformats.org/officeDocument/2006/relationships/image" Target="media/image21.wmf"/><Relationship Id="rId37" Type="http://schemas.openxmlformats.org/officeDocument/2006/relationships/image" Target="media/image22.wmf"/><Relationship Id="rId38" Type="http://schemas.openxmlformats.org/officeDocument/2006/relationships/comments" Target="comments.xml" /><Relationship Id="rId39" Type="http://schemas.microsoft.com/office/2011/relationships/commentsExtended" Target="commentsExtended.xml" /><Relationship Id="rId40" Type="http://schemas.microsoft.com/office/2018/08/relationships/commentsExtensible" Target="commentsExtensible.xml" /><Relationship Id="rId41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>
                <a:highlight>
                  <a:srgbClr val="FFFF00"/>
                </a:highlight>
              </a:rPr>
              <a:t>Динамика выявленных нарушений законодательства</a:t>
            </a:r>
            <a:endParaRPr/>
          </a:p>
        </c:rich>
      </c:tx>
      <c:layout>
        <c:manualLayout>
          <c:x val="0.0020699999999999998"/>
          <c:y val="0.00349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'Лист1'!$C$2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Pos val="inEnd"/>
            <c:separator xml:space="preserve"> ,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'Лист1'!$C$3:$C$6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30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'Лист1'!$D$2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</c:spPr>
          <c:invertIfNegative val="0"/>
          <c:dLbls>
            <c:dLblPos val="inEnd"/>
            <c:separator xml:space="preserve"> ,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'Лист1'!$D$3:$D$6</c:f>
              <c:numCache>
                <c:formatCode>General</c:formatCode>
                <c:ptCount val="4"/>
                <c:pt idx="0">
                  <c:v>7</c:v>
                </c:pt>
                <c:pt idx="1">
                  <c:v>39</c:v>
                </c:pt>
                <c:pt idx="2">
                  <c:v>21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'Лист1'!$E$2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</c:spPr>
          <c:invertIfNegative val="0"/>
          <c:dLbls>
            <c:dLblPos val="inEnd"/>
            <c:separator xml:space="preserve"> ,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'Лист1'!$E$3:$E$6</c:f>
              <c:numCache>
                <c:formatCode>General</c:formatCode>
                <c:ptCount val="4"/>
                <c:pt idx="0">
                  <c:v>35</c:v>
                </c:pt>
                <c:pt idx="1">
                  <c:v>17</c:v>
                </c:pt>
                <c:pt idx="2">
                  <c:v>25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'Лист1'!$F$2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>
              <a:noFill/>
            </a:ln>
          </c:spPr>
          <c:invertIfNegative val="0"/>
          <c:dLbls>
            <c:dLblPos val="inEnd"/>
            <c:separator xml:space="preserve"> ,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'Лист1'!$F$3:$F$6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</c:ser>
        <c:ser>
          <c:idx val="4"/>
          <c:order val="4"/>
          <c:tx>
            <c:strRef>
              <c:f>'Лист1'!$G$2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>
              <a:noFill/>
            </a:ln>
          </c:spPr>
          <c:invertIfNegative val="0"/>
          <c:dLbls>
            <c:dLblPos val="inEnd"/>
            <c:separator xml:space="preserve"> ,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'Лист1'!$B$3:$B$6</c:f>
              <c:strCache>
                <c:ptCount val="4"/>
                <c:pt idx="0">
                  <c:v xml:space="preserve">неиспользование земель с/х назначения</c:v>
                </c:pt>
                <c:pt idx="1">
                  <c:v xml:space="preserve">самовольное занятие</c:v>
                </c:pt>
                <c:pt idx="2">
                  <c:v xml:space="preserve">произрастание борщевика Сосновского</c:v>
                </c:pt>
                <c:pt idx="3">
                  <c:v xml:space="preserve">нецелевое использование земельного участка</c:v>
                </c:pt>
              </c:strCache>
            </c:strRef>
          </c:cat>
          <c:val>
            <c:numRef>
              <c:f>'Лист1'!$G$3:$G$6</c:f>
              <c:numCache>
                <c:formatCode>General</c:formatCode>
                <c:ptCount val="4"/>
                <c:pt idx="0">
                  <c:v>80</c:v>
                </c:pt>
                <c:pt idx="1">
                  <c:v>25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dLbls>
          <c:dLblPos val="inEnd"/>
          <c:separator xml:space="preserve"> ,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219"/>
        <c:overlap val="-24"/>
        <c:axId val="1866169509"/>
        <c:axId val="1866169510"/>
      </c:barChart>
      <c:catAx>
        <c:axId val="186616950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510"/>
        <c:crosses val="autoZero"/>
        <c:auto val="1"/>
        <c:lblAlgn val="ctr"/>
        <c:lblOffset val="100"/>
        <c:tickMarkSkip val="1"/>
        <c:noMultiLvlLbl val="0"/>
      </c:catAx>
      <c:valAx>
        <c:axId val="186616951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50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t"/>
      <c:layout>
        <c:manualLayout/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7" cy="272414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17</cp:revision>
  <dcterms:created xsi:type="dcterms:W3CDTF">2022-09-27T10:26:00Z</dcterms:created>
  <dcterms:modified xsi:type="dcterms:W3CDTF">2025-09-15T07:50:33Z</dcterms:modified>
</cp:coreProperties>
</file>