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ПРОЕКТ</w:t>
      </w:r>
      <w:r>
        <w:rPr>
          <w:sz w:val="28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МУНИЦИПАЛЬНОГО ОКРУГА СЕРЕБРЯНЫЕ ПРУДЫ</w:t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МОСКОВСКОЙ ОБЛАСТИ</w:t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от__________________г. № _________________</w:t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</w:rPr>
      </w:r>
    </w:p>
    <w:p>
      <w:pPr>
        <w:ind w:left="0" w:right="428" w:firstLine="0"/>
        <w:jc w:val="center"/>
        <w:spacing w:after="0" w:line="240" w:lineRule="auto"/>
        <w:rPr>
          <w:rStyle w:val="983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/>
          <w:b w:val="0"/>
          <w:sz w:val="28"/>
          <w:szCs w:val="28"/>
        </w:rPr>
        <w:t xml:space="preserve">программы профилактики </w:t>
      </w:r>
      <w:r>
        <w:rPr>
          <w:rStyle w:val="983"/>
          <w:b w:val="0"/>
          <w:sz w:val="28"/>
          <w:szCs w:val="28"/>
        </w:rPr>
        <w:t xml:space="preserve">рисков причинения вреда</w:t>
      </w:r>
      <w:r>
        <w:rPr>
          <w:rStyle w:val="983"/>
          <w:b w:val="0"/>
          <w:sz w:val="28"/>
          <w:szCs w:val="28"/>
        </w:rPr>
        <w:t xml:space="preserve"> охраняемым законом ценностям в сфере благоустройства на территории </w:t>
      </w:r>
      <w:r>
        <w:rPr>
          <w:rFonts w:ascii="Times New Roman" w:hAnsi="Times New Roman" w:eastAsia="Arial Unicode MS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 w:eastAsia="Arial Unicode MS"/>
        </w:rPr>
      </w:pPr>
      <w:r>
        <w:rPr>
          <w:rStyle w:val="983"/>
          <w:b w:val="0"/>
          <w:sz w:val="28"/>
          <w:szCs w:val="28"/>
        </w:rPr>
        <w:t xml:space="preserve"> Муниципального округа Серебряные Пруды</w:t>
      </w:r>
      <w:r>
        <w:rPr>
          <w:rFonts w:ascii="Times New Roman" w:hAnsi="Times New Roman" w:eastAsia="Arial Unicode MS"/>
          <w:b w:val="0"/>
          <w:sz w:val="28"/>
          <w:szCs w:val="28"/>
        </w:rPr>
        <w:t xml:space="preserve"> Московской области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Arial Unicode MS"/>
          <w:b w:val="0"/>
          <w:sz w:val="28"/>
          <w:szCs w:val="28"/>
        </w:rPr>
        <w:t xml:space="preserve">на 2026 год</w:t>
      </w:r>
      <w:r>
        <w:rPr>
          <w:rFonts w:ascii="Times New Roman" w:hAnsi="Times New Roman" w:eastAsia="Arial Unicode MS"/>
        </w:rPr>
      </w:r>
      <w:r/>
    </w:p>
    <w:p>
      <w:pPr>
        <w:pStyle w:val="957"/>
        <w:ind w:left="0" w:right="428" w:firstLine="0"/>
        <w:jc w:val="center"/>
      </w:pPr>
      <w:r>
        <w:rPr>
          <w:b w:val="0"/>
          <w:sz w:val="28"/>
          <w:szCs w:val="28"/>
        </w:rPr>
      </w:r>
      <w:r/>
    </w:p>
    <w:p>
      <w:pPr>
        <w:ind w:left="0" w:right="428" w:firstLine="0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</w:t>
      </w:r>
      <w:r>
        <w:rPr>
          <w:rFonts w:ascii="Times New Roman" w:hAnsi="Times New Roman"/>
          <w:sz w:val="28"/>
          <w:szCs w:val="28"/>
        </w:rPr>
        <w:t xml:space="preserve">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eastAsia="Arial Unicode MS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с целью предупреждения нарушений организациями обязательных требований в сфере </w:t>
      </w:r>
      <w:r>
        <w:rPr>
          <w:rFonts w:ascii="Times New Roman" w:hAnsi="Times New Roman"/>
          <w:sz w:val="28"/>
          <w:szCs w:val="28"/>
        </w:rPr>
        <w:t xml:space="preserve">муниципального контроля в сфере</w:t>
      </w:r>
      <w:r>
        <w:rPr>
          <w:rFonts w:ascii="Times New Roman" w:hAnsi="Times New Roman"/>
          <w:sz w:val="28"/>
          <w:szCs w:val="28"/>
        </w:rPr>
        <w:t xml:space="preserve"> благоустройства на территории муниципального округа Серебряные Пруды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Московской области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left="0" w:right="428" w:firstLine="0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ПОСТАНОВЛЯЮ: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left="0" w:right="428" w:firstLine="0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1"/>
        <w:numPr>
          <w:ilvl w:val="0"/>
          <w:numId w:val="23"/>
        </w:numPr>
        <w:ind w:left="0" w:firstLine="85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Утвердить прилагаемую Ведомственную программу профилактики </w:t>
      </w:r>
      <w:r>
        <w:rPr>
          <w:rStyle w:val="983"/>
          <w:sz w:val="28"/>
          <w:szCs w:val="28"/>
        </w:rPr>
        <w:t xml:space="preserve">рисков причинения вреда охраняемым законом ценностям муниципального</w:t>
      </w:r>
      <w:r>
        <w:rPr>
          <w:rFonts w:ascii="Times New Roman" w:hAnsi="Times New Roman"/>
          <w:sz w:val="28"/>
          <w:szCs w:val="28"/>
        </w:rPr>
        <w:t xml:space="preserve"> округа Серебряные Пруды</w:t>
      </w:r>
      <w:r>
        <w:rPr>
          <w:rFonts w:ascii="Times New Roman" w:hAnsi="Times New Roman" w:eastAsia="Arial Unicode MS"/>
          <w:sz w:val="28"/>
          <w:szCs w:val="28"/>
        </w:rPr>
        <w:t xml:space="preserve"> Московской области 2026 год.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1"/>
        <w:numPr>
          <w:ilvl w:val="0"/>
          <w:numId w:val="23"/>
        </w:numPr>
        <w:ind w:left="0" w:firstLine="85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  <w:r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</w:t>
      </w:r>
      <w:r>
        <w:rPr>
          <w:rFonts w:ascii="Times New Roman" w:hAnsi="Times New Roman"/>
          <w:sz w:val="28"/>
          <w:szCs w:val="28"/>
        </w:rPr>
        <w:t xml:space="preserve"> обеспечить своевременное выполнение Ведомственной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 w:eastAsia="Arial Unicode MS"/>
          <w:sz w:val="28"/>
          <w:szCs w:val="28"/>
        </w:rPr>
        <w:t xml:space="preserve">профилактики </w:t>
      </w:r>
      <w:r>
        <w:rPr>
          <w:rStyle w:val="983"/>
          <w:sz w:val="28"/>
          <w:szCs w:val="28"/>
        </w:rPr>
        <w:t xml:space="preserve">рисков причинения вреда</w:t>
      </w:r>
      <w:r>
        <w:rPr>
          <w:rStyle w:val="983"/>
          <w:sz w:val="28"/>
          <w:szCs w:val="28"/>
        </w:rPr>
        <w:t xml:space="preserve"> охраняемым законом ценностям муниципального</w:t>
      </w:r>
      <w:r>
        <w:rPr>
          <w:rFonts w:ascii="Times New Roman" w:hAnsi="Times New Roman"/>
          <w:sz w:val="28"/>
          <w:szCs w:val="28"/>
        </w:rPr>
        <w:t xml:space="preserve"> округа 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 </w:t>
      </w:r>
      <w:r>
        <w:rPr>
          <w:rFonts w:ascii="Times New Roman" w:hAnsi="Times New Roman" w:eastAsia="Arial Unicode MS"/>
          <w:sz w:val="28"/>
          <w:szCs w:val="28"/>
        </w:rPr>
        <w:t xml:space="preserve">на 2026 год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1"/>
        <w:numPr>
          <w:ilvl w:val="0"/>
          <w:numId w:val="23"/>
        </w:numPr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Разместить настоящее постановление в сетевом издании «Городской округ Серебряные Пруды», доменное имя сайта в информационно-коммуникационной сети «Интернет»: http://spadm.ru.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p>
      <w:pPr>
        <w:pStyle w:val="981"/>
        <w:numPr>
          <w:ilvl w:val="0"/>
          <w:numId w:val="23"/>
        </w:numPr>
        <w:ind w:left="0" w:firstLine="85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вступает в силу после его официального опубликования.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1"/>
        <w:numPr>
          <w:ilvl w:val="0"/>
          <w:numId w:val="23"/>
        </w:numPr>
        <w:ind w:left="0" w:firstLine="85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         на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- начальника территориального управления </w:t>
      </w:r>
      <w:r>
        <w:rPr>
          <w:rFonts w:ascii="Times New Roman" w:hAnsi="Times New Roman"/>
          <w:sz w:val="28"/>
          <w:szCs w:val="28"/>
        </w:rPr>
        <w:t xml:space="preserve">Севостьянову С.Н.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0" w:right="428"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1"/>
        <w:ind w:left="0" w:right="428"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</w:rPr>
      </w:r>
    </w:p>
    <w:p>
      <w:pPr>
        <w:pStyle w:val="981"/>
        <w:ind w:left="0" w:right="428"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</w:rPr>
      </w:r>
    </w:p>
    <w:p>
      <w:pPr>
        <w:pStyle w:val="981"/>
        <w:ind w:left="0" w:right="428"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</w:rPr>
      </w:r>
    </w:p>
    <w:p>
      <w:pPr>
        <w:pStyle w:val="981"/>
        <w:ind w:left="0" w:right="428"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</w:rPr>
      </w:r>
    </w:p>
    <w:p>
      <w:pPr>
        <w:pStyle w:val="981"/>
        <w:ind w:left="0" w:right="428"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округа                                                        О.В. Павлихин</w:t>
      </w:r>
      <w:r>
        <w:rPr>
          <w:rFonts w:ascii="Times New Roman" w:hAnsi="Times New Roman"/>
          <w:b/>
          <w:sz w:val="24"/>
          <w:szCs w:val="24"/>
        </w:rPr>
        <w:br w:type="page" w:clear="all"/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ПРОЕКТ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b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</w:t>
      </w:r>
      <w:r>
        <w:rPr>
          <w:rFonts w:ascii="Times New Roman" w:hAnsi="Times New Roman"/>
          <w:sz w:val="28"/>
          <w:szCs w:val="24"/>
        </w:rPr>
        <w:t xml:space="preserve">едомственная программа </w:t>
      </w:r>
      <w:r>
        <w:rPr>
          <w:rFonts w:ascii="Times New Roman" w:hAnsi="Times New Roman"/>
          <w:sz w:val="28"/>
          <w:szCs w:val="24"/>
        </w:rPr>
        <w:t xml:space="preserve">профилактики </w:t>
      </w:r>
      <w:bookmarkStart w:id="3" w:name="OLE_LINK22"/>
      <w:r/>
      <w:bookmarkStart w:id="4" w:name="OLE_LINK23"/>
      <w:r>
        <w:rPr>
          <w:rFonts w:ascii="Times New Roman" w:hAnsi="Times New Roman"/>
          <w:sz w:val="28"/>
          <w:szCs w:val="24"/>
        </w:rPr>
        <w:t xml:space="preserve">рисков причинения </w:t>
      </w:r>
      <w:r>
        <w:rPr>
          <w:rFonts w:ascii="Times New Roman" w:hAnsi="Times New Roman"/>
          <w:sz w:val="28"/>
          <w:szCs w:val="24"/>
        </w:rPr>
        <w:t xml:space="preserve">вреда</w:t>
      </w:r>
      <w:r>
        <w:rPr>
          <w:rFonts w:ascii="Times New Roman" w:hAnsi="Times New Roman"/>
          <w:sz w:val="28"/>
          <w:szCs w:val="24"/>
        </w:rPr>
        <w:t xml:space="preserve"> охраняемым</w:t>
      </w:r>
      <w:r>
        <w:rPr>
          <w:rFonts w:ascii="Times New Roman" w:hAnsi="Times New Roman"/>
          <w:sz w:val="28"/>
          <w:szCs w:val="24"/>
        </w:rPr>
        <w:t xml:space="preserve"> законом ценностям</w:t>
      </w:r>
      <w:bookmarkEnd w:id="3"/>
      <w:r/>
      <w:bookmarkEnd w:id="4"/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color w:val="0070c0"/>
          <w:sz w:val="28"/>
          <w:szCs w:val="24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сфере благоустройства городского округа Серебряные Пруды Московской области  </w:t>
      </w:r>
      <w:r>
        <w:rPr>
          <w:rFonts w:ascii="Times New Roman" w:hAnsi="Times New Roman"/>
          <w:sz w:val="28"/>
          <w:szCs w:val="24"/>
        </w:rPr>
        <w:t xml:space="preserve">на 2026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год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</w:r>
    </w:p>
    <w:p>
      <w:pPr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pStyle w:val="947"/>
        <w:ind w:right="290"/>
        <w:jc w:val="center"/>
        <w:spacing w:before="0"/>
      </w:pPr>
      <w:r>
        <w:t xml:space="preserve">ПАСПОРТ</w:t>
      </w:r>
      <w:r/>
    </w:p>
    <w:p>
      <w:pPr>
        <w:pStyle w:val="968"/>
        <w:ind w:left="0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68"/>
        <w:ind w:left="0" w:firstLine="0"/>
        <w:jc w:val="left"/>
        <w:spacing w:before="6"/>
        <w:rPr>
          <w:sz w:val="17"/>
        </w:rPr>
      </w:pPr>
      <w:r>
        <w:rPr>
          <w:sz w:val="17"/>
        </w:rPr>
      </w:r>
      <w:r>
        <w:rPr>
          <w:sz w:val="17"/>
        </w:rPr>
      </w:r>
    </w:p>
    <w:tbl>
      <w:tblPr>
        <w:tblW w:w="0" w:type="auto"/>
        <w:tblInd w:w="5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>
        <w:tblPrEx/>
        <w:trPr>
          <w:trHeight w:val="5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0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70"/>
              <w:ind w:left="110"/>
              <w:jc w:val="both"/>
              <w:spacing w:line="264" w:lineRule="exact"/>
              <w:tabs>
                <w:tab w:val="left" w:pos="88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Ведомственная программа профилактики </w:t>
            </w:r>
            <w:r>
              <w:rPr>
                <w:sz w:val="24"/>
                <w:szCs w:val="24"/>
              </w:rPr>
              <w:t xml:space="preserve">рисков причинения </w:t>
            </w:r>
            <w:r>
              <w:rPr>
                <w:sz w:val="24"/>
                <w:szCs w:val="24"/>
              </w:rPr>
              <w:t xml:space="preserve">вреда</w:t>
            </w:r>
            <w:r>
              <w:rPr>
                <w:sz w:val="24"/>
                <w:szCs w:val="24"/>
              </w:rPr>
              <w:t xml:space="preserve"> охраняемым</w:t>
            </w:r>
            <w:r>
              <w:rPr>
                <w:sz w:val="24"/>
                <w:szCs w:val="24"/>
              </w:rPr>
              <w:t xml:space="preserve"> законом ценностям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сфере благоустройства муниципального округа Серебряные Пруды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2026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(далее – программа профилактики)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57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0"/>
              <w:ind w:left="107" w:right="847"/>
              <w:rPr>
                <w:sz w:val="24"/>
              </w:rPr>
            </w:pPr>
            <w:r>
              <w:rPr>
                <w:sz w:val="24"/>
              </w:rPr>
              <w:t xml:space="preserve"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70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>
              <w:rPr>
                <w:sz w:val="24"/>
              </w:rPr>
              <w:t xml:space="preserve">Федеральный закон № 248-ФЗ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0"/>
              <w:ind w:left="10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Разработчик программы</w:t>
            </w:r>
            <w:r>
              <w:rPr>
                <w:sz w:val="24"/>
              </w:rPr>
              <w:t xml:space="preserve"> профилактики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70"/>
              <w:ind w:left="0"/>
              <w:jc w:val="both"/>
              <w:spacing w:line="255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Муниципальный  округ Серебряные Пруды Московской области (далее - </w:t>
            </w:r>
            <w:r>
              <w:rPr>
                <w:sz w:val="24"/>
                <w:szCs w:val="24"/>
              </w:rPr>
              <w:t xml:space="preserve">контрольн</w:t>
            </w:r>
            <w:r>
              <w:rPr>
                <w:sz w:val="24"/>
                <w:szCs w:val="24"/>
              </w:rPr>
              <w:t xml:space="preserve">ый</w:t>
            </w:r>
            <w:r>
              <w:rPr>
                <w:sz w:val="24"/>
                <w:szCs w:val="24"/>
              </w:rPr>
              <w:t xml:space="preserve"> (надзорн</w:t>
            </w:r>
            <w:r>
              <w:rPr>
                <w:sz w:val="24"/>
                <w:szCs w:val="24"/>
              </w:rPr>
              <w:t xml:space="preserve">ый</w:t>
            </w:r>
            <w:r>
              <w:rPr>
                <w:sz w:val="24"/>
                <w:szCs w:val="24"/>
              </w:rPr>
              <w:t xml:space="preserve">) орган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i/>
                <w:sz w:val="24"/>
              </w:rPr>
            </w:r>
          </w:p>
        </w:tc>
      </w:tr>
      <w:tr>
        <w:tblPrEx/>
        <w:trPr>
          <w:trHeight w:val="22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0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Цели программы</w:t>
            </w:r>
            <w:r>
              <w:rPr>
                <w:sz w:val="24"/>
              </w:rPr>
              <w:t xml:space="preserve"> профилактики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70"/>
              <w:ind w:right="90"/>
              <w:jc w:val="both"/>
              <w:shd w:val="clear" w:color="ffffff" w:fill="ffffff" w:themeFill="background1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Предотвращение рисков причинения вреда охраняемым законом ценностям;</w:t>
            </w:r>
            <w:r>
              <w:rPr>
                <w:sz w:val="24"/>
              </w:rPr>
            </w:r>
          </w:p>
          <w:p>
            <w:pPr>
              <w:pStyle w:val="970"/>
              <w:ind w:right="90"/>
              <w:jc w:val="both"/>
              <w:shd w:val="clear" w:color="ffffff" w:fill="ffffff" w:themeFill="background1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2.Предупре</w:t>
            </w:r>
            <w:r>
              <w:rPr>
                <w:sz w:val="24"/>
              </w:rPr>
              <w:t xml:space="preserve">ждение нарушений обязательных требований (снижение числа нарушений обязательных требований) в сфере муниципального контроля в сфере благоустройства на территории муниципального округа Серебряные Пруды Московской области(далее-государственный контроль (надзор);</w:t>
            </w:r>
            <w:r>
              <w:rPr>
                <w:sz w:val="24"/>
              </w:rPr>
            </w:r>
          </w:p>
          <w:p>
            <w:pPr>
              <w:pStyle w:val="970"/>
              <w:ind w:right="90"/>
              <w:jc w:val="both"/>
              <w:shd w:val="clear" w:color="ffffff" w:fill="ffffff" w:themeFill="background1"/>
              <w:tabs>
                <w:tab w:val="left" w:pos="399" w:leader="none"/>
              </w:tabs>
              <w:rPr>
                <w:sz w:val="24"/>
                <w:highlight w:val="none"/>
              </w:rPr>
            </w:pPr>
            <w:r>
              <w:rPr>
                <w:sz w:val="24"/>
              </w:rPr>
              <w:t xml:space="preserve">3.Повышение прозрачности деятельности контрольного (надзорного) органа при осуществлении муниципального контроля (надзора) за деятельностью  контролируемых лиц;</w:t>
            </w:r>
            <w:r>
              <w:rPr>
                <w:sz w:val="24"/>
                <w:highlight w:val="none"/>
              </w:rPr>
            </w:r>
          </w:p>
          <w:p>
            <w:pPr>
              <w:pStyle w:val="970"/>
              <w:ind w:right="90"/>
              <w:jc w:val="both"/>
              <w:shd w:val="clear" w:color="ffffff" w:fill="ffffff" w:themeFill="background1"/>
              <w:tabs>
                <w:tab w:val="left" w:pos="399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4.Снижение при осуществлении государственного контроля ( надзора) административной нагрузки на контролируемых лиц;</w:t>
            </w:r>
            <w:r>
              <w:rPr>
                <w:sz w:val="24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70"/>
              <w:ind w:right="90"/>
              <w:jc w:val="both"/>
              <w:shd w:val="clear" w:color="ffffff" w:fill="ffffff" w:themeFill="background1"/>
              <w:tabs>
                <w:tab w:val="left" w:pos="399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5.Предупреждение нарушения контролируемыми лицами обязательных требований в сфере муниципального контроля (надзора) включая устранение причин, факторов и условий, способствующих возможному нарушению обязательных требований;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70"/>
              <w:ind w:right="90"/>
              <w:jc w:val="both"/>
              <w:shd w:val="clear" w:color="ffffff" w:fill="ffffff" w:themeFill="background1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6.Разъяснение контролируемым лицам обязательных требований законодательства Московской области в области муниципального контроля в сфере благоустройства.</w:t>
            </w:r>
            <w:r>
              <w:rPr>
                <w:sz w:val="24"/>
                <w:highlight w:val="none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0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Задачи программы</w:t>
            </w:r>
            <w:r>
              <w:rPr>
                <w:sz w:val="24"/>
              </w:rPr>
              <w:t xml:space="preserve"> профилактики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ыявление причин, факторов и условий, способствующих нарушению обязательных требований в сфере муниципального</w:t>
            </w:r>
            <w:r>
              <w:rPr>
                <w:rFonts w:ascii="Times New Roman" w:hAnsi="Times New Roman" w:eastAsia="Times New Roman"/>
                <w:i/>
                <w:color w:val="0070c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контроля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 (надзора), определение способов устранения или снижения рисков их возникновения;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странение причин, факторов и условий, способствующих нарушению обязательных требований;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</w:tbl>
    <w:p>
      <w:pPr>
        <w:pStyle w:val="968"/>
        <w:ind w:left="0" w:firstLine="0"/>
        <w:jc w:val="left"/>
        <w:spacing w:before="2"/>
        <w:rPr>
          <w:sz w:val="10"/>
        </w:rPr>
      </w:pPr>
      <w:r>
        <w:rPr>
          <w:sz w:val="10"/>
        </w:rPr>
      </w:r>
      <w:r>
        <w:rPr>
          <w:sz w:val="10"/>
        </w:rPr>
      </w:r>
    </w:p>
    <w:tbl>
      <w:tblPr>
        <w:tblW w:w="0" w:type="auto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7022"/>
      </w:tblGrid>
      <w:tr>
        <w:tblPrEx/>
        <w:trPr>
          <w:trHeight w:val="4276"/>
        </w:trPr>
        <w:tc>
          <w:tcPr>
            <w:shd w:val="clear" w:color="auto" w:fill="auto"/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7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7022" w:type="dxa"/>
            <w:textDirection w:val="lrTb"/>
            <w:noWrap w:val="false"/>
          </w:tcPr>
          <w:p>
            <w:pPr>
              <w:pStyle w:val="970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овышение уровня правовой грамотности подконтрольных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, в том числе путем обеспечения доступности информации об обязательных требованиях и необходимых мерах по их исполнению;</w:t>
            </w:r>
            <w:r>
              <w:rPr>
                <w:sz w:val="24"/>
              </w:rPr>
            </w:r>
          </w:p>
          <w:p>
            <w:pPr>
              <w:pStyle w:val="970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  <w:t xml:space="preserve">пределение перечня видов и сбор статистических данных, необходимых для организации профилактической работы;</w:t>
            </w:r>
            <w:r>
              <w:rPr>
                <w:sz w:val="24"/>
              </w:rPr>
            </w:r>
          </w:p>
          <w:p>
            <w:pPr>
              <w:pStyle w:val="970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овышение квалификации кадрового состава </w:t>
            </w:r>
            <w:r>
              <w:rPr>
                <w:sz w:val="24"/>
              </w:rPr>
              <w:t xml:space="preserve">контрольного (надзорного) органа;</w:t>
            </w:r>
            <w:r>
              <w:rPr>
                <w:sz w:val="24"/>
              </w:rPr>
            </w:r>
          </w:p>
          <w:p>
            <w:pPr>
              <w:pStyle w:val="970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6. С</w:t>
            </w:r>
            <w:r>
              <w:rPr>
                <w:sz w:val="24"/>
              </w:rPr>
              <w:t xml:space="preserve">оздание системы консультирования подконтрольных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, в том числе с использованием современных информационно-телекоммуникационных технологий;</w:t>
            </w:r>
            <w:r>
              <w:rPr>
                <w:sz w:val="24"/>
              </w:rPr>
            </w:r>
          </w:p>
          <w:p>
            <w:pPr>
              <w:pStyle w:val="970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</w:t>
            </w:r>
            <w:r>
              <w:rPr>
                <w:sz w:val="24"/>
              </w:rPr>
              <w:t xml:space="preserve">ормирование одинакового понимания обязательных требований в сфере </w:t>
            </w:r>
            <w:r>
              <w:rPr>
                <w:sz w:val="24"/>
              </w:rPr>
              <w:t xml:space="preserve">муниципального контроля( надзора)</w:t>
            </w:r>
            <w:r>
              <w:rPr>
                <w:sz w:val="24"/>
              </w:rPr>
              <w:t xml:space="preserve"> у всех участников контрольно-надзорной деятельности на территории Московской области.</w:t>
            </w:r>
            <w:r>
              <w:rPr>
                <w:sz w:val="24"/>
              </w:rPr>
            </w:r>
          </w:p>
        </w:tc>
      </w:tr>
      <w:tr>
        <w:tblPrEx/>
        <w:trPr>
          <w:trHeight w:val="693"/>
        </w:trPr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970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z w:val="24"/>
              </w:rPr>
              <w:t xml:space="preserve">реализации программы</w:t>
            </w:r>
            <w:r>
              <w:rPr>
                <w:sz w:val="24"/>
              </w:rPr>
              <w:t xml:space="preserve"> профилактики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W w:w="7022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shd w:val="clear" w:color="auto" w:fill="auto"/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70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Источники финансирования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7022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контрольного (надзорного) органа.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47"/>
        </w:trPr>
        <w:tc>
          <w:tcPr>
            <w:shd w:val="clear" w:color="auto" w:fill="auto"/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70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Ожидаемые конечные результаты реализации программы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рофилактики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7022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нижение рисков причинения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вреда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охраняемым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законом ценностям;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величение доли законопослушных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органа, осуществляющего муниципального контроль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(надзор)</w:t>
            </w:r>
            <w:r>
              <w:rPr>
                <w:rFonts w:ascii="Times New Roman" w:hAnsi="Times New Roman" w:eastAsia="Times New Roman"/>
                <w:color w:val="5b9bd5" w:themeColor="accen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территории Московской области;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недрение различных способов профилактики;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азработка и внедрение технологий профилактической работы внутри контрольного (надзорного) органа;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азработка образцов эффективного, законопослушного поведения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беспечение квалифицированной профилактической работы должностных лиц контрольного (надзорного) органа;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овышение прозрачности деятельности контрольного (надзорного) органа;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меньшение административной нагрузки 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беспечение единообразия понимания предмета контроля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контролируемыми лицами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отивация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70" w:lineRule="atLeast"/>
        <w:rPr>
          <w:sz w:val="24"/>
        </w:rPr>
        <w:sectPr>
          <w:headerReference w:type="default" r:id="rId9"/>
          <w:headerReference w:type="first" r:id="rId10"/>
          <w:footerReference w:type="default" r:id="rId13"/>
          <w:footerReference w:type="first" r:id="rId14"/>
          <w:footnotePr/>
          <w:endnotePr/>
          <w:type w:val="nextPage"/>
          <w:pgSz w:w="11900" w:h="16850" w:orient="portrait"/>
          <w:pgMar w:top="1000" w:right="387" w:bottom="280" w:left="60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949"/>
        <w:ind w:left="0" w:firstLine="567"/>
        <w:jc w:val="center"/>
        <w:spacing w:before="129" w:line="295" w:lineRule="exact"/>
        <w:rPr>
          <w:sz w:val="28"/>
        </w:rPr>
      </w:pPr>
      <w:r>
        <w:rPr>
          <w:sz w:val="28"/>
        </w:rPr>
        <w:t xml:space="preserve">Раздел 1. </w:t>
      </w:r>
      <w:r>
        <w:rPr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sz w:val="28"/>
        </w:rPr>
      </w:r>
    </w:p>
    <w:p>
      <w:pPr>
        <w:ind w:right="467" w:firstLine="567"/>
        <w:jc w:val="both"/>
        <w:spacing w:after="0"/>
        <w:rPr>
          <w:i/>
          <w:sz w:val="26"/>
          <w:u w:val="single"/>
        </w:rPr>
      </w:pPr>
      <w:r>
        <w:rPr>
          <w:i/>
          <w:sz w:val="26"/>
          <w:u w:val="single"/>
        </w:rPr>
      </w:r>
      <w:r>
        <w:rPr>
          <w:u w:val="single"/>
        </w:rPr>
      </w:r>
      <w:r>
        <w:rPr>
          <w:i/>
          <w:sz w:val="26"/>
          <w:u w:val="singl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1.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Контролируемыми лицами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муниципального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контроля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 xml:space="preserve">(надзора)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в сфере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благоустройства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на территории Московской области являются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юридические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лица, индивидуальные предприниматели и граждане.</w:t>
      </w:r>
      <w:r>
        <w:rPr>
          <w:u w:val="none"/>
        </w:rPr>
      </w:r>
      <w:r>
        <w:rPr>
          <w:rFonts w:ascii="Times New Roman" w:hAnsi="Times New Roman" w:eastAsia="Times New Roman"/>
          <w:sz w:val="28"/>
          <w:szCs w:val="28"/>
          <w:u w:val="non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Объектами муниципального контроля в сфере благоустройства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на территории Московской области являются: деятельность, действия (бездействия)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граждан и организаций , в рамках которых должны соблюдаться обязательные требования в сфере муниципального контроля в сфере благоустройства, в том числе предъявляемые к гражданам и организациям, осуществляющим деятельность,действия (бездействия)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; результаты деятельности граждан, организац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ий, индивидуальный предпринимателей, в том числе продукция (товары), работы и услуги, к которым предъявляются обязательные требования в сфере муниципального контроля в сфере благоустройства; территории муниципального округа Серебряные Пруды Московской области.</w:t>
      </w:r>
      <w:r>
        <w:rPr>
          <w:u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:u w:val="non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2. Программа профилактики направлена на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повышение эффективности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предупреждения нарушений обязательных требовани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й и повышение правовой грамотности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контролируемых лиц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.</w:t>
      </w:r>
      <w:r>
        <w:rPr>
          <w:u w:val="none"/>
        </w:rPr>
      </w:r>
      <w:r>
        <w:rPr>
          <w:rFonts w:ascii="Times New Roman" w:hAnsi="Times New Roman" w:eastAsia="Times New Roman"/>
          <w:sz w:val="28"/>
          <w:szCs w:val="28"/>
          <w:u w:val="non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3. Наиболее значимыми рисками в деятельности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контролируемых лиц</w:t>
      </w:r>
      <w:r>
        <w:rPr>
          <w:rFonts w:ascii="Times New Roman" w:hAnsi="Times New Roman" w:eastAsia="Times New Roman"/>
          <w:strike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являются:</w:t>
      </w:r>
      <w:r>
        <w:rPr>
          <w:u w:val="none"/>
        </w:rPr>
      </w:r>
      <w:r>
        <w:rPr>
          <w:rFonts w:ascii="Times New Roman" w:hAnsi="Times New Roman" w:eastAsia="Times New Roman"/>
          <w:sz w:val="28"/>
          <w:szCs w:val="28"/>
          <w:u w:val="non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) ненадлежащее содержание и состоя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ние территории, несвоевременная и ( 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  <w:r>
        <w:rPr>
          <w:u w:val="none"/>
        </w:rPr>
      </w:r>
      <w:r>
        <w:rPr>
          <w:rFonts w:ascii="Times New Roman" w:hAnsi="Times New Roman" w:eastAsia="Times New Roman"/>
          <w:sz w:val="28"/>
          <w:szCs w:val="28"/>
          <w:u w:val="non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) размещение транспортных средств, в том числе брошенных и (или) разукомплектованных, на участках с зеленым насаждениям ;</w:t>
      </w:r>
      <w:r>
        <w:rPr>
          <w:u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:u w:val="non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  <w:u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u w:val="none"/>
        </w:rPr>
        <w:t xml:space="preserve">3) ненадлежащее состояние или содержание нежилых зданий, строений, сооружений и объектов малых архитектурных форм.</w:t>
      </w:r>
      <w:r>
        <w:rPr>
          <w:rFonts w:ascii="Times New Roman" w:hAnsi="Times New Roman" w:eastAsia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/>
          <w:sz w:val="28"/>
          <w:szCs w:val="28"/>
          <w:u w:val="none"/>
        </w:rPr>
      </w:r>
    </w:p>
    <w:p>
      <w:pPr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/>
          <w:sz w:val="28"/>
          <w:szCs w:val="28"/>
          <w:u w:val="singl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4. В целях предотвращени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рисков причинения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вреда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охраняемым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законом ценностям, предупреждени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нарушен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ий обязательных требований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проведены профилактические мероприятия, </w:t>
      </w:r>
      <w:r>
        <w:rPr>
          <w:rFonts w:ascii="Times New Roman" w:hAnsi="Times New Roman" w:eastAsia="Times New Roman"/>
          <w:sz w:val="28"/>
          <w:szCs w:val="28"/>
          <w:u w:val="none"/>
          <w:shd w:val="clear" w:color="ffffff" w:fill="ffffff" w:themeFill="background1"/>
        </w:rPr>
        <w:t xml:space="preserve">предусмотренные планом-графиком, установленным</w:t>
      </w:r>
      <w:r>
        <w:rPr>
          <w:rFonts w:ascii="Times New Roman" w:hAnsi="Times New Roman" w:eastAsia="Times New Roman"/>
          <w:sz w:val="28"/>
          <w:szCs w:val="28"/>
          <w:u w:val="none"/>
          <w:shd w:val="clear" w:color="ffffff" w:fill="ffffff" w:themeFill="background1"/>
        </w:rPr>
        <w:t xml:space="preserve"> программой профилактики на </w:t>
      </w:r>
      <w:r>
        <w:rPr>
          <w:rFonts w:ascii="Times New Roman" w:hAnsi="Times New Roman" w:eastAsia="Times New Roman"/>
          <w:color w:val="auto"/>
          <w:sz w:val="28"/>
          <w:szCs w:val="28"/>
          <w:u w:val="none"/>
          <w:shd w:val="clear" w:color="ffffff" w:fill="ffffff" w:themeFill="background1"/>
        </w:rPr>
        <w:t xml:space="preserve">2026</w:t>
      </w:r>
      <w:r>
        <w:rPr>
          <w:rFonts w:ascii="Times New Roman" w:hAnsi="Times New Roman" w:eastAsia="Times New Roman"/>
          <w:sz w:val="28"/>
          <w:szCs w:val="28"/>
          <w:u w:val="none"/>
          <w:shd w:val="clear" w:color="ffffff" w:fill="ffffff" w:themeFill="background1"/>
        </w:rPr>
        <w:t xml:space="preserve"> год</w:t>
      </w:r>
      <w:r>
        <w:rPr>
          <w:rFonts w:ascii="Times New Roman" w:hAnsi="Times New Roman" w:eastAsia="Times New Roman"/>
          <w:sz w:val="28"/>
          <w:szCs w:val="28"/>
          <w:u w:val="none"/>
          <w:shd w:val="clear" w:color="ffffff" w:fill="ffffff" w:themeFill="background1"/>
        </w:rPr>
        <w:t xml:space="preserve">.</w:t>
      </w:r>
      <w:r>
        <w:rPr>
          <w:u w:val="none"/>
          <w:shd w:val="clear" w:color="ffffff" w:fill="ffffff" w:themeFill="background1"/>
        </w:rPr>
      </w:r>
      <w:r>
        <w:rPr>
          <w:rFonts w:ascii="Times New Roman" w:hAnsi="Times New Roman" w:eastAsia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Кроме того, н</w:t>
      </w:r>
      <w:r>
        <w:rPr>
          <w:rFonts w:ascii="Times New Roman" w:hAnsi="Times New Roman" w:eastAsia="Times New Roman"/>
          <w:sz w:val="28"/>
          <w:szCs w:val="28"/>
        </w:rPr>
        <w:t xml:space="preserve">а официальном </w:t>
      </w:r>
      <w:r>
        <w:rPr>
          <w:rFonts w:ascii="Times New Roman" w:hAnsi="Times New Roman" w:eastAsia="Times New Roman"/>
          <w:sz w:val="28"/>
          <w:szCs w:val="28"/>
        </w:rPr>
        <w:t xml:space="preserve">сайте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(надзорного) органа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https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//www.spadm.ru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разделе «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Муниципальный контроль»</w:t>
      </w:r>
      <w:r>
        <w:rPr>
          <w:rFonts w:ascii="Times New Roman" w:hAnsi="Times New Roman" w:eastAsia="Times New Roman"/>
          <w:sz w:val="28"/>
          <w:szCs w:val="28"/>
        </w:rPr>
        <w:t xml:space="preserve"> размещ</w:t>
      </w:r>
      <w:r>
        <w:rPr>
          <w:rFonts w:ascii="Times New Roman" w:hAnsi="Times New Roman" w:eastAsia="Times New Roman"/>
          <w:sz w:val="28"/>
          <w:szCs w:val="28"/>
        </w:rPr>
        <w:t xml:space="preserve">ены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материалы и</w:t>
      </w:r>
      <w:r>
        <w:rPr>
          <w:rFonts w:ascii="Times New Roman" w:hAnsi="Times New Roman" w:eastAsia="Times New Roman"/>
          <w:sz w:val="28"/>
          <w:szCs w:val="28"/>
        </w:rPr>
        <w:t xml:space="preserve"> сведения, касающиеся осуществляемых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контрольным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sz w:val="28"/>
          <w:szCs w:val="28"/>
        </w:rPr>
        <w:t xml:space="preserve">надзорным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орган</w:t>
      </w:r>
      <w:r>
        <w:rPr>
          <w:rFonts w:ascii="Times New Roman" w:hAnsi="Times New Roman" w:eastAsia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/>
          <w:sz w:val="28"/>
          <w:szCs w:val="28"/>
        </w:rPr>
        <w:t xml:space="preserve"> мер по профилактике рисков причинения </w:t>
      </w:r>
      <w:r>
        <w:rPr>
          <w:rFonts w:ascii="Times New Roman" w:hAnsi="Times New Roman" w:eastAsia="Times New Roman"/>
          <w:sz w:val="28"/>
          <w:szCs w:val="28"/>
        </w:rPr>
        <w:t xml:space="preserve">вреда</w:t>
      </w:r>
      <w:r>
        <w:rPr>
          <w:rFonts w:ascii="Times New Roman" w:hAnsi="Times New Roman" w:eastAsia="Times New Roman"/>
          <w:sz w:val="28"/>
          <w:szCs w:val="28"/>
        </w:rPr>
        <w:t xml:space="preserve"> охраняемым</w:t>
      </w:r>
      <w:r>
        <w:rPr>
          <w:rFonts w:ascii="Times New Roman" w:hAnsi="Times New Roman" w:eastAsia="Times New Roman"/>
          <w:sz w:val="28"/>
          <w:szCs w:val="28"/>
        </w:rPr>
        <w:t xml:space="preserve"> законом ценностям (нарушений обязательных требований), созданы интерактивные сервисы, обеспечивающие взаимодействие с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</w:rPr>
        <w:t xml:space="preserve">, в том числе размещены электронные формы для обратной связи с </w:t>
      </w:r>
      <w:r>
        <w:rPr>
          <w:rFonts w:ascii="Times New Roman" w:hAnsi="Times New Roman" w:eastAsia="Times New Roman"/>
          <w:sz w:val="28"/>
          <w:szCs w:val="28"/>
          <w:shd w:val="clear" w:color="ffffff" w:fill="ffffff" w:themeFill="background1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  <w:shd w:val="clear" w:color="ffffff" w:fill="ffffff" w:themeFill="background1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/>
          <w:sz w:val="28"/>
          <w:szCs w:val="28"/>
        </w:rPr>
        <w:t xml:space="preserve"> приказ (распоряжение)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eastAsia="Times New Roman"/>
          <w:sz w:val="28"/>
          <w:szCs w:val="28"/>
        </w:rPr>
        <w:t xml:space="preserve">перечень нормативных правовых актов или их отдельных частей (положений), содержащих обязательные требования, соблюдение которых оценивается при осуществлении муниципальног</w:t>
      </w:r>
      <w:r>
        <w:rPr>
          <w:rFonts w:ascii="Times New Roman" w:hAnsi="Times New Roman" w:eastAsia="Times New Roman"/>
          <w:sz w:val="28"/>
          <w:szCs w:val="28"/>
        </w:rPr>
        <w:t xml:space="preserve">о контроля (надзора)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/>
          <w:sz w:val="28"/>
          <w:szCs w:val="28"/>
        </w:rPr>
        <w:t xml:space="preserve"> переч</w:t>
      </w:r>
      <w:r>
        <w:rPr>
          <w:rFonts w:ascii="Times New Roman" w:hAnsi="Times New Roman" w:eastAsia="Times New Roman"/>
          <w:sz w:val="28"/>
          <w:szCs w:val="28"/>
        </w:rPr>
        <w:t xml:space="preserve">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 (надзора), а также текстов соответствующих нормативных правовых актов или их отдельных частей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https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//www.spadm.ru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/>
          <w:sz w:val="28"/>
          <w:szCs w:val="28"/>
        </w:rPr>
        <w:t xml:space="preserve">руководство</w:t>
      </w:r>
      <w:r>
        <w:rPr>
          <w:rFonts w:ascii="Times New Roman" w:hAnsi="Times New Roman" w:eastAsia="Times New Roman"/>
          <w:sz w:val="28"/>
          <w:szCs w:val="28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</w:t>
      </w:r>
      <w:r>
        <w:rPr>
          <w:rFonts w:ascii="Times New Roman" w:hAnsi="Times New Roman" w:eastAsia="Times New Roman"/>
          <w:sz w:val="28"/>
          <w:szCs w:val="28"/>
        </w:rPr>
        <w:t xml:space="preserve">организационно</w:t>
      </w:r>
      <w:r>
        <w:rPr>
          <w:rFonts w:ascii="Times New Roman" w:hAnsi="Times New Roman" w:eastAsia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/>
          <w:sz w:val="28"/>
          <w:szCs w:val="28"/>
        </w:rPr>
        <w:t xml:space="preserve">технических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мероприятий при осуществлении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контрольным </w:t>
      </w:r>
      <w:r>
        <w:rPr>
          <w:rFonts w:ascii="Times New Roman" w:hAnsi="Times New Roman" w:eastAsia="Times New Roman"/>
          <w:sz w:val="28"/>
          <w:szCs w:val="28"/>
        </w:rPr>
        <w:t xml:space="preserve">(надзорным</w:t>
      </w:r>
      <w:r>
        <w:rPr>
          <w:rFonts w:ascii="Times New Roman" w:hAnsi="Times New Roman" w:eastAsia="Times New Roman"/>
          <w:sz w:val="28"/>
          <w:szCs w:val="28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контроля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(надзора)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утвержд</w:t>
      </w:r>
      <w:r>
        <w:rPr>
          <w:rFonts w:ascii="Times New Roman" w:hAnsi="Times New Roman" w:eastAsia="Times New Roman"/>
          <w:sz w:val="28"/>
          <w:szCs w:val="28"/>
        </w:rPr>
        <w:t xml:space="preserve">аемое </w:t>
      </w:r>
      <w:r>
        <w:rPr>
          <w:rFonts w:ascii="Times New Roman" w:hAnsi="Times New Roman" w:eastAsia="Times New Roman"/>
          <w:sz w:val="28"/>
          <w:szCs w:val="28"/>
        </w:rPr>
        <w:t xml:space="preserve">приказом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5) 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бзор правоприменительной практики контрольно-надзорной деятельности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</w:t>
      </w:r>
      <w:r>
        <w:rPr>
          <w:rFonts w:ascii="Times New Roman" w:hAnsi="Times New Roman" w:eastAsia="Times New Roman"/>
          <w:sz w:val="28"/>
          <w:szCs w:val="28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, утвержд</w:t>
      </w:r>
      <w:r>
        <w:rPr>
          <w:rFonts w:ascii="Times New Roman" w:hAnsi="Times New Roman" w:eastAsia="Times New Roman"/>
          <w:sz w:val="28"/>
          <w:szCs w:val="28"/>
        </w:rPr>
        <w:t xml:space="preserve">аемый</w:t>
      </w:r>
      <w:r>
        <w:rPr>
          <w:rFonts w:ascii="Times New Roman" w:hAnsi="Times New Roman" w:eastAsia="Times New Roman"/>
          <w:sz w:val="28"/>
          <w:szCs w:val="28"/>
        </w:rPr>
        <w:t xml:space="preserve"> приказом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</w:t>
      </w:r>
      <w:r>
        <w:rPr>
          <w:rFonts w:ascii="Times New Roman" w:hAnsi="Times New Roman" w:eastAsia="Times New Roman"/>
          <w:sz w:val="28"/>
          <w:szCs w:val="28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6) </w:t>
      </w:r>
      <w:r>
        <w:rPr>
          <w:rFonts w:ascii="Times New Roman" w:hAnsi="Times New Roman" w:eastAsia="Times New Roman"/>
          <w:sz w:val="28"/>
          <w:szCs w:val="28"/>
        </w:rPr>
        <w:t xml:space="preserve">проверочные листы</w:t>
      </w:r>
      <w:r>
        <w:rPr>
          <w:rFonts w:ascii="Times New Roman" w:hAnsi="Times New Roman" w:eastAsia="Times New Roman"/>
          <w:sz w:val="28"/>
          <w:szCs w:val="28"/>
        </w:rPr>
        <w:t xml:space="preserve"> (списки контрольных вопросов)</w:t>
      </w:r>
      <w:r>
        <w:rPr>
          <w:rFonts w:ascii="Times New Roman" w:hAnsi="Times New Roman" w:eastAsia="Times New Roman"/>
          <w:sz w:val="28"/>
          <w:szCs w:val="28"/>
        </w:rPr>
        <w:t xml:space="preserve">, применяемые при проведении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контрольных надзорных мероприятий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ffffff" w:fill="ffffff" w:themeFill="background1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shd w:val="clear" w:color="ffffff" w:fill="ffffff" w:themeFill="background1"/>
          <w:lang w:val="en-US"/>
        </w:rPr>
        <w:t xml:space="preserve">https</w:t>
      </w:r>
      <w:r>
        <w:rPr>
          <w:rFonts w:ascii="Times New Roman" w:hAnsi="Times New Roman" w:eastAsia="Times New Roman"/>
          <w:sz w:val="28"/>
          <w:szCs w:val="28"/>
          <w:shd w:val="clear" w:color="ffffff" w:fill="ffffff" w:themeFill="background1"/>
          <w:lang w:val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shd w:val="clear" w:color="ffffff" w:fill="ffffff" w:themeFill="background1"/>
          <w:lang w:val="en-US"/>
        </w:rPr>
        <w:t xml:space="preserve">//www.spadm.ru</w:t>
      </w:r>
      <w:r>
        <w:rPr>
          <w:rFonts w:ascii="Times New Roman" w:hAnsi="Times New Roman" w:eastAsia="Times New Roman"/>
          <w:sz w:val="28"/>
          <w:szCs w:val="28"/>
          <w:shd w:val="clear" w:color="ffffff" w:fill="ffffff" w:themeFill="background1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shd w:val="clear" w:color="ffffff" w:fill="ffffff" w:themeFill="background1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7) п</w:t>
      </w:r>
      <w:r>
        <w:rPr>
          <w:rFonts w:ascii="Times New Roman" w:hAnsi="Times New Roman" w:eastAsia="Times New Roman"/>
          <w:sz w:val="28"/>
          <w:szCs w:val="28"/>
        </w:rPr>
        <w:t xml:space="preserve">лан проведения плановых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контрольных (надзорных) мероприятий контролируемых лиц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8) </w:t>
      </w:r>
      <w:r>
        <w:rPr>
          <w:rFonts w:ascii="Times New Roman" w:hAnsi="Times New Roman" w:eastAsia="Times New Roman"/>
          <w:sz w:val="28"/>
          <w:szCs w:val="28"/>
        </w:rPr>
        <w:t xml:space="preserve">информация о результатах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</w:rPr>
        <w:t xml:space="preserve">, также в </w:t>
      </w:r>
      <w:r>
        <w:rPr>
          <w:rFonts w:ascii="Times New Roman" w:hAnsi="Times New Roman" w:eastAsia="Times New Roman"/>
          <w:sz w:val="28"/>
          <w:szCs w:val="28"/>
        </w:rPr>
        <w:t xml:space="preserve">един</w:t>
      </w:r>
      <w:r>
        <w:rPr>
          <w:rFonts w:ascii="Times New Roman" w:hAnsi="Times New Roman" w:eastAsia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/>
          <w:sz w:val="28"/>
          <w:szCs w:val="28"/>
        </w:rPr>
        <w:t xml:space="preserve"> реестр</w:t>
      </w:r>
      <w:r>
        <w:rPr>
          <w:rFonts w:ascii="Times New Roman" w:hAnsi="Times New Roman" w:eastAsia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/>
          <w:sz w:val="28"/>
          <w:szCs w:val="28"/>
        </w:rPr>
        <w:t xml:space="preserve"> 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материалы</w:t>
      </w:r>
      <w:r>
        <w:rPr>
          <w:rFonts w:ascii="Times New Roman" w:hAnsi="Times New Roman" w:eastAsia="Times New Roman"/>
          <w:sz w:val="28"/>
          <w:szCs w:val="28"/>
        </w:rPr>
        <w:t xml:space="preserve"> публичных обсуждени</w:t>
      </w:r>
      <w:r>
        <w:rPr>
          <w:rFonts w:ascii="Times New Roman" w:hAnsi="Times New Roman" w:eastAsia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10) материалы по результатам </w:t>
      </w:r>
      <w:r>
        <w:rPr>
          <w:rFonts w:ascii="Times New Roman" w:hAnsi="Times New Roman" w:eastAsia="Times New Roman"/>
          <w:sz w:val="28"/>
          <w:szCs w:val="28"/>
        </w:rPr>
        <w:t xml:space="preserve">вебинар</w:t>
      </w:r>
      <w:r>
        <w:rPr>
          <w:rFonts w:ascii="Times New Roman" w:hAnsi="Times New Roman" w:eastAsia="Times New Roman"/>
          <w:sz w:val="28"/>
          <w:szCs w:val="28"/>
        </w:rPr>
        <w:t xml:space="preserve">ов, проведенных с целью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разъяснени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контролируемым лицам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действующего законодательства, устанавливающего обязательные требования.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shd w:val="clear" w:color="ffffff" w:fill="ffffff" w:themeFill="background1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>
        <w:rPr>
          <w:i/>
          <w:sz w:val="26"/>
        </w:rPr>
      </w:r>
    </w:p>
    <w:p>
      <w:pPr>
        <w:pStyle w:val="949"/>
        <w:ind w:left="0" w:firstLine="0"/>
        <w:jc w:val="center"/>
        <w:spacing w:before="1" w:line="295" w:lineRule="exact"/>
        <w:rPr>
          <w:sz w:val="28"/>
          <w:lang w:val="ru-RU"/>
        </w:rPr>
      </w:pPr>
      <w:r>
        <w:rPr>
          <w:sz w:val="28"/>
        </w:rPr>
        <w:t xml:space="preserve">Раздел 2. Цели и задачи </w:t>
      </w:r>
      <w:r>
        <w:rPr>
          <w:sz w:val="28"/>
        </w:rPr>
        <w:t xml:space="preserve">реализации программы профилактики</w:t>
      </w:r>
      <w:r>
        <w:rPr>
          <w:sz w:val="28"/>
          <w:lang w:val="ru-RU"/>
        </w:rPr>
      </w:r>
    </w:p>
    <w:p>
      <w:pPr>
        <w:pStyle w:val="949"/>
        <w:ind w:left="0" w:firstLine="567"/>
        <w:spacing w:before="1" w:line="295" w:lineRule="exact"/>
      </w:pPr>
      <w:r/>
      <w:r/>
    </w:p>
    <w:p>
      <w:pPr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Целями проведения профилактических мероприятий являются: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1)Предотвращение рисков причинения вреда охраняемым законом ценностям;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2) Предупреждение нарушений обязательных требований (снижение числа нарушений обязательных требований ) в сфере муниципального контроля в сфере благоустройства на территории муниципального округа Серебряные Пруды Московской области;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3) Увеличение доли законопослушных контролируемых лиц;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 4)устранение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 5)мотивация к добросовестному поведению контролируемых лиц и как следствие снижение уровня ущерба охраняемым законом ценностям.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контрольным (надзорным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профилактических мероприятий направлено на решение следующих задач: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разъяснение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контролируемым лицам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обязательных требований;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вреда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охраняемым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контролируемого лица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проведение профилактических мероприятий с учетом данных факторов;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создание системы консультирования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том числе с использованием современных информационно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телекоммуникационных технологий;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повышение уровня правовой грамотности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 том числе путем обеспечения доступности информации об обязательных требованиях и необходимых мерах по их исполнению.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2" w:firstLine="567"/>
        <w:jc w:val="both"/>
        <w:spacing w:after="0"/>
        <w:shd w:val="clear" w:color="ffffff" w:fill="ffffff" w:themeFill="background1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Целевые показатели программы профилактики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муниципального контроля </w:t>
      </w:r>
      <w:r>
        <w:rPr>
          <w:rFonts w:ascii="Times New Roman" w:hAnsi="Times New Roman" w:eastAsia="Times New Roman" w:cs="Times New Roman"/>
          <w:sz w:val="28"/>
        </w:rPr>
        <w:t xml:space="preserve">(надзора)</w:t>
      </w:r>
      <w:r>
        <w:rPr>
          <w:rFonts w:ascii="Times New Roman" w:hAnsi="Times New Roman" w:eastAsia="Times New Roman" w:cs="Times New Roman"/>
          <w:sz w:val="32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fill="ffffff" w:themeFill="background1"/>
        </w:rPr>
        <w:t xml:space="preserve">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ffffff" w:fill="ffffff" w:themeFill="background1"/>
        </w:rPr>
        <w:t xml:space="preserve">202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ffffff" w:fill="ffffff" w:themeFill="background1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fill="ffffff" w:themeFill="background1"/>
        </w:rPr>
        <w:t xml:space="preserve"> год: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fill="ffffff" w:themeFill="background1"/>
        </w:rPr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right="-2" w:firstLine="567"/>
        <w:jc w:val="both"/>
        <w:spacing w:after="0"/>
        <w:shd w:val="clear" w:color="ffffff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shd w:val="clear" w:color="ffffff" w:fill="ffffff" w:themeFill="background1"/>
        </w:rPr>
      </w:r>
      <w:r>
        <w:rPr>
          <w:rFonts w:ascii="Times New Roman" w:hAnsi="Times New Roman"/>
          <w:sz w:val="28"/>
          <w:szCs w:val="28"/>
          <w:highlight w:val="none"/>
          <w:shd w:val="clear" w:color="ffffff" w:fill="ffffff" w:themeFill="background1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498" w:type="dxa"/>
        <w:tblInd w:w="-2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>
        <w:tblPrEx/>
        <w:trPr>
          <w:trHeight w:val="7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</w:t>
            </w:r>
            <w:r>
              <w:rPr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показателей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</w:t>
            </w: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202</w:t>
            </w:r>
            <w:r>
              <w:rPr>
                <w:color w:val="auto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год, %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57"/>
              <w:rPr>
                <w:sz w:val="20"/>
              </w:rPr>
            </w:pPr>
            <w:r>
              <w:rPr>
                <w:sz w:val="20"/>
              </w:rPr>
              <w:t xml:space="preserve">Доля проведенных профилактических мероприятий от запланированных:</w:t>
            </w:r>
            <w:r>
              <w:rPr>
                <w:sz w:val="20"/>
              </w:rPr>
            </w:r>
          </w:p>
          <w:p>
            <w:pPr>
              <w:pStyle w:val="957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2415" cy="516890"/>
                      <wp:effectExtent l="0" t="0" r="635" b="0"/>
                      <wp:docPr id="1" name="Рисунок 1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>
                                <a:extLst>
                                  <a:ext uri="{96DAC541-7B7A-43D3-8B79-37D633B846F1}">
                                    <asvg:svgBlip xmlns:asvg="http://schemas.microsoft.com/office/drawing/2016/SVG/main" r:embed="rId1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414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1.45pt;height:40.70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957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ПМф</w:t>
            </w:r>
            <w:r>
              <w:rPr>
                <w:sz w:val="20"/>
              </w:rPr>
              <w:t xml:space="preserve"> - фактическое количество профилактических мероприятий;</w:t>
            </w:r>
            <w:r>
              <w:rPr>
                <w:sz w:val="20"/>
              </w:rPr>
            </w:r>
          </w:p>
          <w:p>
            <w:pPr>
              <w:pStyle w:val="957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ПМп</w:t>
            </w:r>
            <w:r>
              <w:rPr>
                <w:sz w:val="20"/>
              </w:rPr>
              <w:t xml:space="preserve"> - плановое количество профилактических мероприятий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57"/>
              <w:rPr>
                <w:sz w:val="20"/>
              </w:rPr>
            </w:pPr>
            <w:r>
              <w:rPr>
                <w:sz w:val="20"/>
              </w:rPr>
              <w:t xml:space="preserve">Опубликование на официальном сайте нормативных правовых актов, содержащих обязательные требования (НПА):</w:t>
            </w:r>
            <w:r>
              <w:rPr>
                <w:sz w:val="20"/>
              </w:rPr>
            </w:r>
          </w:p>
          <w:p>
            <w:pPr>
              <w:pStyle w:val="957"/>
              <w:rPr>
                <w:sz w:val="20"/>
              </w:rPr>
            </w:pPr>
            <w:r>
              <w:rPr>
                <w:position w:val="-32"/>
                <w:sz w:val="20"/>
              </w:rPr>
            </w:r>
            <w:r>
              <w:rPr>
                <w:position w:val="-32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1170" cy="556895"/>
                      <wp:effectExtent l="0" t="0" r="0" b="0"/>
                      <wp:docPr id="2" name="Рисунок 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>
                                <a:extLst>
                                  <a:ext uri="{96DAC541-7B7A-43D3-8B79-37D633B846F1}">
                                    <asvg:svgBlip xmlns:asvg="http://schemas.microsoft.com/office/drawing/2016/SVG/main" r:embed="rId1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169" cy="5568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37.10pt;height:43.85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position w:val="-32"/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57"/>
              <w:rPr>
                <w:sz w:val="20"/>
              </w:rPr>
            </w:pPr>
            <w:r>
              <w:rPr>
                <w:position w:val="-10"/>
                <w:sz w:val="20"/>
              </w:rPr>
              <w:t xml:space="preserve">НПА</w:t>
            </w:r>
            <w:r>
              <w:rPr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95782" cy="286385"/>
                      <wp:effectExtent l="6350" t="6350" r="6350" b="6350"/>
                      <wp:docPr id="3" name="Рисунок 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>
                                <a:extLst>
                                  <a:ext uri="{96DAC541-7B7A-43D3-8B79-37D633B846F1}">
                                    <asvg:svgBlip xmlns:asvg="http://schemas.microsoft.com/office/drawing/2016/SVG/main" r:embed="rId2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495781" cy="286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9.04pt;height:22.55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  <w:r>
              <w:rPr>
                <w:sz w:val="20"/>
              </w:rPr>
            </w:r>
          </w:p>
          <w:p>
            <w:pPr>
              <w:pStyle w:val="957"/>
              <w:rPr>
                <w:sz w:val="20"/>
              </w:rPr>
            </w:pPr>
            <w:r>
              <w:rPr>
                <w:position w:val="-10"/>
                <w:sz w:val="20"/>
              </w:rPr>
              <w:t xml:space="preserve">НПА</w:t>
            </w:r>
            <w:r>
              <w:rPr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5775" cy="309143"/>
                      <wp:effectExtent l="6350" t="6350" r="6350" b="6350"/>
                      <wp:docPr id="4" name="Рисунок 1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2">
                                <a:extLst>
                                  <a:ext uri="{96DAC541-7B7A-43D3-8B79-37D633B846F1}">
                                    <asvg:svgBlip xmlns:asvg="http://schemas.microsoft.com/office/drawing/2016/SVG/main" r:embed="rId2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485774" cy="3091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38.25pt;height:24.34pt;mso-wrap-distance-left:0.00pt;mso-wrap-distance-top:0.00pt;mso-wrap-distance-right:0.00pt;mso-wrap-distance-bottom:0.0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Доля выданных предостережений о недопустимости нарушения обязательных требований:</w: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position w:val="-28"/>
                <w:sz w:val="20"/>
              </w:rPr>
            </w:pPr>
            <w:r>
              <w:rPr>
                <w:position w:val="-28"/>
                <w:sz w:val="20"/>
              </w:rPr>
            </w:r>
            <w:r>
              <w:rPr>
                <w:position w:val="-28"/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71295" cy="516890"/>
                      <wp:effectExtent l="0" t="0" r="0" b="0"/>
                      <wp:docPr id="5" name="Рисунок 1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Picture 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4">
                                <a:extLst>
                                  <a:ext uri="{96DAC541-7B7A-43D3-8B79-37D633B846F1}">
                                    <asvg:svgBlip xmlns:asvg="http://schemas.microsoft.com/office/drawing/2016/SVG/main" r:embed="rId25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129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beve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15.85pt;height:40.70pt;mso-wrap-distance-left:0.00pt;mso-wrap-distance-top:0.00pt;mso-wrap-distance-right:0.00pt;mso-wrap-distance-bottom:0.0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Пред - количество выданных предостережений о недопустимости нарушения обязательных требований;</w: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8760" cy="278130"/>
                      <wp:effectExtent l="0" t="0" r="8890" b="7620"/>
                      <wp:docPr id="6" name="Рисунок 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3876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8.80pt;height:21.90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Доля охвата контролируемых лиц (включенных в ежегодный план проверок) профилактическими мероприятиями:</w:t>
            </w:r>
            <w:r>
              <w:rPr>
                <w:sz w:val="20"/>
              </w:rPr>
            </w:r>
          </w:p>
          <w:p>
            <w:r/>
            <w:r/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3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83665" cy="540385"/>
                      <wp:effectExtent l="0" t="0" r="6985" b="0"/>
                      <wp:docPr id="7" name="Рисунок 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8">
                                <a:extLst>
                                  <a:ext uri="{96DAC541-7B7A-43D3-8B79-37D633B846F1}">
                                    <asvg:svgBlip xmlns:asvg="http://schemas.microsoft.com/office/drawing/2016/SVG/main" r:embed="rId2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383665" cy="540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08.95pt;height:42.55pt;mso-wrap-distance-left:0.00pt;mso-wrap-distance-top:0.00pt;mso-wrap-distance-right:0.00pt;mso-wrap-distance-bottom:0.00pt;" stroked="f">
                      <v:path textboxrect="0,0,0,0"/>
                      <v:imagedata r:id="rId28" o:title=""/>
                    </v:shape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7505" cy="278130"/>
                      <wp:effectExtent l="0" t="0" r="4445" b="7620"/>
                      <wp:docPr id="8" name="Рисунок 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750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28.15pt;height:21.9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74015" cy="278130"/>
                      <wp:effectExtent l="0" t="0" r="6985" b="7620"/>
                      <wp:docPr id="9" name="Рисунок 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Picture 1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32">
                                <a:extLst>
                                  <a:ext uri="{96DAC541-7B7A-43D3-8B79-37D633B846F1}">
                                    <asvg:svgBlip xmlns:asvg="http://schemas.microsoft.com/office/drawing/2016/SVG/main" r:embed="rId3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7401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29.45pt;height:21.9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75</w:t>
            </w:r>
            <w:r>
              <w:rPr>
                <w:color w:val="auto"/>
                <w:sz w:val="20"/>
              </w:rPr>
              <w:t xml:space="preserve"> </w:t>
            </w:r>
            <w:hyperlink w:tooltip="&lt;**&gt; Целевые показатели подлежат ежегодной актуализации." w:anchor="Par193" w:history="1">
              <w:r>
                <w:rPr>
                  <w:color w:val="auto"/>
                  <w:sz w:val="20"/>
                </w:rPr>
                <w:t xml:space="preserve">&lt;**&gt;</w:t>
              </w:r>
            </w:hyperlink>
            <w:r>
              <w:rPr>
                <w:color w:val="auto"/>
              </w:rPr>
            </w:r>
            <w:r>
              <w:rPr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Доля выданных предписаний при проведении плановых проверок:</w: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0160" cy="516890"/>
                      <wp:effectExtent l="0" t="0" r="0" b="0"/>
                      <wp:docPr id="10" name="Рисунок 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Picture 1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34">
                                <a:extLst>
                                  <a:ext uri="{96DAC541-7B7A-43D3-8B79-37D633B846F1}">
                                    <asvg:svgBlip xmlns:asvg="http://schemas.microsoft.com/office/drawing/2016/SVG/main" r:embed="rId35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016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00.80pt;height:40.70pt;mso-wrap-distance-left:0.00pt;mso-wrap-distance-top:0.00pt;mso-wrap-distance-right:0.00pt;mso-wrap-distance-bottom:0.00pt;" stroked="f">
                      <v:path textboxrect="0,0,0,0"/>
                      <v:imagedata r:id="rId34" o:title=""/>
                    </v:shape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80" cy="278130"/>
                      <wp:effectExtent l="0" t="0" r="0" b="7620"/>
                      <wp:docPr id="11" name="Рисунок 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Picture 1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36">
                                <a:extLst>
                                  <a:ext uri="{96DAC541-7B7A-43D3-8B79-37D633B846F1}">
                                    <asvg:svgBlip xmlns:asvg="http://schemas.microsoft.com/office/drawing/2016/SVG/main" r:embed="rId3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8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24.40pt;height:21.90pt;mso-wrap-distance-left:0.00pt;mso-wrap-distance-top:0.00pt;mso-wrap-distance-right:0.00pt;mso-wrap-distance-bottom:0.00pt;" stroked="f">
                      <v:path textboxrect="0,0,0,0"/>
                      <v:imagedata r:id="rId36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выданных предписаний в текущем году;</w: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80" cy="278130"/>
                      <wp:effectExtent l="0" t="0" r="0" b="7620"/>
                      <wp:docPr id="12" name="Рисунок 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1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38">
                                <a:extLst>
                                  <a:ext uri="{96DAC541-7B7A-43D3-8B79-37D633B846F1}">
                                    <asvg:svgBlip xmlns:asvg="http://schemas.microsoft.com/office/drawing/2016/SVG/main" r:embed="rId3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8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24.40pt;height:21.90pt;mso-wrap-distance-left:0.00pt;mso-wrap-distance-top:0.00pt;mso-wrap-distance-right:0.00pt;mso-wrap-distance-bottom:0.00pt;" stroked="f">
                      <v:path textboxrect="0,0,0,0"/>
                      <v:imagedata r:id="rId38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выданных предписаний в предшествующем году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>
              <w:rPr>
                <w:color w:val="auto"/>
                <w:sz w:val="20"/>
              </w:rPr>
              <w:t xml:space="preserve"> </w:t>
            </w:r>
            <w:hyperlink w:tooltip="&lt;**&gt; Целевые показатели подлежат ежегодной актуализации." w:anchor="Par193" w:history="1">
              <w:r>
                <w:rPr>
                  <w:color w:val="auto"/>
                  <w:sz w:val="20"/>
                </w:rPr>
                <w:t xml:space="preserve">&lt;**&gt;</w:t>
              </w:r>
            </w:hyperlink>
            <w:r/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Повышение степени исполнительности контролируемых лиц/устранение причин и условий выявленных нарушений обязательных требований:</w: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24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81175" cy="440400"/>
                      <wp:effectExtent l="6350" t="6350" r="6350" b="6350"/>
                      <wp:docPr id="13" name="Рисунок 1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Picture 1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40">
                                <a:extLst>
                                  <a:ext uri="{96DAC541-7B7A-43D3-8B79-37D633B846F1}">
                                    <asvg:svgBlip xmlns:asvg="http://schemas.microsoft.com/office/drawing/2016/SVG/main" r:embed="rId4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781174" cy="4403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140.25pt;height:34.68pt;mso-wrap-distance-left:0.00pt;mso-wrap-distance-top:0.00pt;mso-wrap-distance-right:0.00pt;mso-wrap-distance-bottom:0.00pt;" stroked="f">
                      <v:path textboxrect="0,0,0,0"/>
                      <v:imagedata r:id="rId40" o:title=""/>
                    </v:shape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2255" cy="278130"/>
                      <wp:effectExtent l="0" t="0" r="4445" b="7620"/>
                      <wp:docPr id="14" name="Рисунок 2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Picture 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42">
                                <a:extLst>
                                  <a:ext uri="{96DAC541-7B7A-43D3-8B79-37D633B846F1}">
                                    <asvg:svgBlip xmlns:asvg="http://schemas.microsoft.com/office/drawing/2016/SVG/main" r:embed="rId4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622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20.65pt;height:21.90pt;mso-wrap-distance-left:0.00pt;mso-wrap-distance-top:0.00pt;mso-wrap-distance-right:0.00pt;mso-wrap-distance-bottom:0.00pt;" stroked="f">
                      <v:path textboxrect="0,0,0,0"/>
                      <v:imagedata r:id="rId42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6890" cy="278130"/>
                      <wp:effectExtent l="0" t="0" r="0" b="7620"/>
                      <wp:docPr id="15" name="Рисунок 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Picture 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44">
                                <a:extLst>
                                  <a:ext uri="{96DAC541-7B7A-43D3-8B79-37D633B846F1}">
                                    <asvg:svgBlip xmlns:asvg="http://schemas.microsoft.com/office/drawing/2016/SVG/main" r:embed="rId45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1689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40.70pt;height:21.90pt;mso-wrap-distance-left:0.00pt;mso-wrap-distance-top:0.00pt;mso-wrap-distance-right:0.00pt;mso-wrap-distance-bottom:0.00pt;" stroked="f">
                      <v:path textboxrect="0,0,0,0"/>
                      <v:imagedata r:id="rId44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  <w:r>
              <w:rPr>
                <w:sz w:val="20"/>
              </w:rPr>
            </w:r>
          </w:p>
          <w:p>
            <w:pPr>
              <w:pStyle w:val="957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N - общее количество выданных предписаний и предостережений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57"/>
              <w:jc w:val="center"/>
              <w:shd w:val="clear" w:color="ffffff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</w:tr>
    </w:tbl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&lt;**&gt; Целевые показатели подлежат ежегодной актуализации.</w:t>
      </w:r>
      <w:r>
        <w:rPr>
          <w:rFonts w:ascii="Times New Roman" w:hAnsi="Times New Roman"/>
          <w:sz w:val="24"/>
          <w:szCs w:val="28"/>
        </w:rPr>
      </w:r>
    </w:p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jc w:val="center"/>
        <w:spacing w:after="0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fldChar w:fldCharType="begin"/>
      </w:r>
      <w:r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rPr>
                <m:sty m:val="p"/>
              </m:rPr>
              <m:t>В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  <w:lang w:val="en-US"/>
              </w:rPr>
              <m:rPr>
                <m:sty m:val="p"/>
              </m:rPr>
              <m:t>i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rPr>
            <m:sty m:val="p"/>
          </m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Ф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П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i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rPr>
            <m:sty m:val="p"/>
          </m:rPr>
          <m:t>*100%</m:t>
        </m:r>
      </m:oMath>
      <w:r>
        <w:rPr>
          <w:rFonts w:ascii="Times New Roman" w:hAnsi="Times New Roman"/>
          <w:sz w:val="2"/>
          <w:szCs w:val="24"/>
        </w:rPr>
        <w:instrText xml:space="preserve"> </w:instrText>
      </w:r>
      <w:r>
        <w:rPr>
          <w:rFonts w:ascii="Times New Roman" w:hAnsi="Times New Roman"/>
          <w:sz w:val="2"/>
          <w:szCs w:val="24"/>
        </w:rPr>
        <w:fldChar w:fldCharType="separate"/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"/>
          <w:szCs w:val="24"/>
        </w:rPr>
        <w:fldChar w:fldCharType="end"/>
      </w:r>
      <w:r>
        <w:rPr>
          <w:rFonts w:ascii="Times New Roman" w:hAnsi="Times New Roman"/>
          <w:sz w:val="2"/>
          <w:szCs w:val="24"/>
        </w:rPr>
        <w:t xml:space="preserve"> ,</w:t>
      </w:r>
      <w:r>
        <w:rPr>
          <w:rFonts w:ascii="Times New Roman" w:hAnsi="Times New Roman"/>
          <w:sz w:val="2"/>
          <w:szCs w:val="24"/>
        </w:rPr>
      </w:r>
    </w:p>
    <w:p>
      <w:pPr>
        <w:pStyle w:val="949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  <w:lang w:val="ru-RU"/>
        </w:rPr>
      </w:pP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949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  <w:lang w:val="ru-RU"/>
        </w:rPr>
      </w:pPr>
      <w:r>
        <w:rPr>
          <w:sz w:val="28"/>
        </w:rPr>
        <w:t xml:space="preserve">Раздел 3. </w:t>
      </w:r>
      <w:r>
        <w:rPr>
          <w:sz w:val="28"/>
        </w:rPr>
        <w:t xml:space="preserve">Перечень профилактических мероприятий, сроки (периодичность) их проведения</w:t>
      </w:r>
      <w:r>
        <w:rPr>
          <w:sz w:val="28"/>
          <w:lang w:val="ru-RU"/>
        </w:rPr>
      </w:r>
    </w:p>
    <w:p>
      <w:pPr>
        <w:pStyle w:val="959"/>
        <w:ind w:left="85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Перечень профилактических мероприятий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информирование;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обобщение правоприменительной практики;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объявление предостережения;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консультирование;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профилактический визит;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fill="ffffff" w:themeFill="background1"/>
          <w:lang w:eastAsia="ru-RU"/>
        </w:rPr>
        <w:t xml:space="preserve">6)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fill="ffffff" w:themeFill="background1"/>
          <w:lang w:eastAsia="ru-RU"/>
        </w:rPr>
        <w:t xml:space="preserve">самообследование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fill="ffffff" w:themeFill="background1"/>
          <w:lang w:eastAsia="ru-RU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b05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рилагается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Информирование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center"/>
        <w:spacing w:after="0" w:line="240" w:lineRule="auto"/>
        <w:shd w:val="clear" w:color="ffffff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46 Федерального закона № 248-ФЗ.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контрольного (надзорного) органа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Контрольный (надзорный)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размещает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поддерживает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актуальном состоянии на своем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информационно-телекоммуникационной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сети «Интернет» следующую информацию: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государственного контроля (надзора), в течении 10 дней с даты принятия нормативно правового акта;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сведения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изменениях, внесенных в нормативные правовые акты, регулирующие осуществление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контроля (надзора), о сроках и порядке их вступления в силу, в течении  10дней с даты внесения изменений в нормативные правовые акты;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перечень нормативных правовых актов с указан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течении 10 дней с даты внесения изменений в нормативные правовые акты;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самообследования в течении 10 дней с даты утверждения;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31.07.2020 N 247-ФЗ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«Об обязательных требованиях в Российской Федерации», ежегодно до 15 марта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раза в год;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программу профилактики рисков причинения вреда и план проведения плановых контрольных (надзорных) мероприятий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(при проведении таких мероприятий), ежегодно в период с 1 по 10 декабря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контрольным (надзорным) органам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 контролируемого лица, ежегодно в 1 квартале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способах получения консультаций по вопросам соблюдения обязательных требований, ежегодно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квартале: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сведения о порядке досудебного обжалования решений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действий (бездействия)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должностных лиц, по мере  необходимости, но не реже 1 раза в год;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12)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ежегодно в срок до 15 марта;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13)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доклады о муниципальном контроле, ежегодно не позднее 15 марта;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14) информацию о способах и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  <w:lang w:eastAsia="ru-RU"/>
        </w:rPr>
        <w:t xml:space="preserve">и информацию о декларациях соблюдения обязательных требований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представленных контролируемыми лицами, ежегодно в срок до 15 марта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Обобщение правоприменительной практики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Обобщение правоприменительной практики проводится в соответствии со ст.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47 Федерального закона № 248-ФЗ.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контрольного (надзорного)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ольного (надзорного) органа.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Подготовка доклада, содержащего результаты обобщения правоприменительной практики, осуществляющего ежегодно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I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квартале. Размещение на официальном сайте контрольного (надзорного) органа в информационно-телекоммуникационной сети «Интернет» -ежегодно, не позднее15 марта.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Объявление предостережения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Объявление предостережения проводится в соответствии со ст. 49 Федерального закона № 248-ФЗ.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Контрольный (надзорный)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Срок (периодичность) проведения данного мероприятия: постоянно.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</w:p>
    <w:p>
      <w:pPr>
        <w:pStyle w:val="959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Консультирование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Консультирование проводится в соответствии со ст. 50 Федерального закона № 248-ФЗ.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Консультирование 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уществляется следующими способами: 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контрольных (надзорных) мероприятий в виде инспекционного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визита, документарной или выездной проверки должностным лицом контрольного( надзорного) органа по письменному обращению контролируемого лица или его представителя в течение 5 рабочих дней со дня поступления такого обращения в контрольный( надзорный) орган.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Консультирование проводится по следующим вопросам: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9"/>
        <w:ind w:left="567" w:firstLine="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1)об обязательных требованиях, предъявляемых к деятельности 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нтролируемых лиц, соответствии объектов контроля (на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дзора) критериям риска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 надзора), исходя из его отнесения к соответствующей категории риска;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9"/>
        <w:ind w:left="567" w:firstLine="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2) об осуществлении муниципального контроля (надзора);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9"/>
        <w:ind w:left="567" w:firstLine="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3) о ведении перечня объектов контроля (надзора);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9"/>
        <w:ind w:left="567" w:firstLine="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4) о досудебном (внесудебном) обжаловании действий (бездействия) и (или) решений, принятых (осуществляемых) контрольным (надзорным) органом при осуществлении муниципального контроля( надзора);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9"/>
        <w:ind w:left="567" w:firstLine="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5) об административной ответственности за нарушение обязательных требований.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9"/>
        <w:ind w:left="567" w:firstLine="0"/>
        <w:jc w:val="both"/>
        <w:spacing w:after="0" w:line="240" w:lineRule="auto"/>
        <w:shd w:val="clear" w:color="ffffff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yandex-sans" w:hAnsi="yandex-sans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yandex-sans" w:hAnsi="yandex-sans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Профилактический визит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Профилактический визит проводится в соответствии со ст. 52 Федерального закона № 248-ФЗ.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 значительного риска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Срок проведения профилактического визита (в том числе обязательного профилактического визита): не реже одного раза в год. Профилактический визит проводится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III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квартале. Срок проведения профилактического (обязательного профилактического визита) не может превышать 1 рабочий день</w:t>
      </w:r>
      <w:r>
        <w:rPr>
          <w:rFonts w:ascii="yandex-sans" w:hAnsi="yandex-sans" w:eastAsia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yandex-sans" w:hAnsi="yandex-sans" w:eastAsia="Times New Roman"/>
          <w:color w:val="00b050"/>
          <w:sz w:val="28"/>
          <w:szCs w:val="28"/>
          <w:lang w:eastAsia="ru-RU"/>
        </w:rPr>
      </w:pPr>
      <w:r>
        <w:rPr>
          <w:rFonts w:ascii="yandex-sans" w:hAnsi="yandex-sans" w:eastAsia="Times New Roman"/>
          <w:color w:val="00b050"/>
          <w:sz w:val="28"/>
          <w:szCs w:val="28"/>
          <w:lang w:eastAsia="ru-RU"/>
        </w:rPr>
      </w:r>
      <w:r>
        <w:rPr>
          <w:rFonts w:ascii="yandex-sans" w:hAnsi="yandex-sans" w:eastAsia="Times New Roman"/>
          <w:color w:val="00b050"/>
          <w:sz w:val="28"/>
          <w:szCs w:val="28"/>
          <w:lang w:eastAsia="ru-RU"/>
        </w:rPr>
      </w:r>
    </w:p>
    <w:p>
      <w:pPr>
        <w:pStyle w:val="959"/>
        <w:ind w:left="0" w:firstLine="0"/>
        <w:jc w:val="both"/>
        <w:spacing w:after="0" w:line="240" w:lineRule="auto"/>
        <w:shd w:val="clear" w:color="ffffff" w:fill="ffffff"/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</w:pPr>
      <w:r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</w:r>
      <w:r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</w:r>
    </w:p>
    <w:p>
      <w:pPr>
        <w:pStyle w:val="959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Самообследование.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59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 w:themeFill="background1"/>
        <w:tabs>
          <w:tab w:val="left" w:pos="1209" w:leader="none"/>
        </w:tabs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szCs w:val="28"/>
        </w:rPr>
        <w:t xml:space="preserve">Самообследование проводится в  порядке ,предусмотренном статьей 51 Федерального закона № 248-ФЗ.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none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 w:themeFill="background1"/>
        <w:tabs>
          <w:tab w:val="left" w:pos="1209" w:leader="none"/>
        </w:tabs>
        <w:rPr>
          <w:rFonts w:ascii="yandex-sans" w:hAnsi="yandex-sans" w:eastAsia="Times New Roman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szCs w:val="28"/>
          <w:highlight w:val="none"/>
        </w:rPr>
        <w:t xml:space="preserve">Информацию о способах и процедуре самообсл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szCs w:val="28"/>
          <w:highlight w:val="none"/>
        </w:rPr>
        <w:t xml:space="preserve">едования в автоматизированном режиме, в том числе методические рекомендации по проведению самообследования и подготовке декларации соблюдения обязательных требований размещаются на сайте контрольного (надзорного) органа в разделе « Муниципальный контроль»</w:t>
      </w:r>
      <w:r>
        <w:rPr>
          <w:rFonts w:ascii="yandex-sans" w:hAnsi="yandex-sans" w:eastAsia="Times New Roman"/>
          <w:i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yandex-sans" w:hAnsi="yandex-sans" w:eastAsia="Times New Roman"/>
          <w:i w:val="0"/>
          <w:color w:val="000000" w:themeColor="text1"/>
          <w:sz w:val="28"/>
          <w:szCs w:val="28"/>
          <w:highlight w:val="none"/>
        </w:rPr>
      </w:r>
      <w:r>
        <w:rPr>
          <w:rFonts w:ascii="yandex-sans" w:hAnsi="yandex-sans" w:eastAsia="Times New Roman"/>
          <w:i w:val="0"/>
          <w:color w:val="000000"/>
          <w:sz w:val="28"/>
          <w:szCs w:val="28"/>
        </w:rPr>
      </w:r>
    </w:p>
    <w:p>
      <w:pPr>
        <w:pStyle w:val="959"/>
        <w:ind w:left="0" w:firstLine="567"/>
        <w:jc w:val="both"/>
        <w:spacing w:after="0" w:line="240" w:lineRule="auto"/>
        <w:shd w:val="clear" w:color="ffffff" w:fill="ffffff"/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</w:pPr>
      <w:r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</w:r>
      <w:r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</w:r>
      <w:r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</w:r>
    </w:p>
    <w:p>
      <w:pPr>
        <w:pStyle w:val="959"/>
        <w:ind w:left="851" w:firstLine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9"/>
        <w:ind w:left="0" w:firstLine="0"/>
        <w:jc w:val="center"/>
        <w:spacing w:line="295" w:lineRule="exact"/>
        <w:rPr>
          <w:sz w:val="28"/>
          <w:lang w:val="ru-RU"/>
        </w:rPr>
      </w:pPr>
      <w:r>
        <w:rPr>
          <w:sz w:val="28"/>
        </w:rPr>
        <w:t xml:space="preserve">Раздел 4. </w:t>
      </w:r>
      <w:r>
        <w:rPr>
          <w:sz w:val="28"/>
        </w:rPr>
        <w:t xml:space="preserve">Показатели результативности и эффективности программы профилактики</w:t>
      </w:r>
      <w:r>
        <w:rPr>
          <w:sz w:val="28"/>
          <w:lang w:val="ru-RU"/>
        </w:rPr>
      </w:r>
    </w:p>
    <w:p>
      <w:pPr>
        <w:pStyle w:val="959"/>
        <w:ind w:left="1080"/>
        <w:spacing w:after="0" w:line="240" w:lineRule="auto"/>
        <w:shd w:val="clear" w:color="ffffff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5b9bd5" w:themeColor="accen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Эффективность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рограммы профилактики оценивается: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1)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повышением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эффективности системы профилактики нарушений обязательных требований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2)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повышением уровня правовой грамотности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  <w:lang w:val="ru-RU" w:eastAsia="ru-RU" w:bidi="ar-SA"/>
        </w:rPr>
        <w:t xml:space="preserve">о порядке проведения контрольных (надзорных) мероприятий и правах контролируемых  лиц в ходе их проведения;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3)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своей деятельности;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4)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контролируемыми лицами и контрольным (надзорным ) органом;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5) вовлечением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в регулярное взаимодействие с контрольным (надзорным) органом.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14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yandex-sans" w:hAnsi="yandex-sans"/>
          <w:color w:val="auto"/>
          <w:sz w:val="28"/>
          <w:szCs w:val="28"/>
          <w:lang w:val="ru-RU" w:eastAsia="ru-RU" w:bidi="ar-SA"/>
        </w:rPr>
        <w:t xml:space="preserve">15</w:t>
      </w:r>
      <w:r>
        <w:rPr>
          <w:rFonts w:ascii="yandex-sans" w:hAnsi="yandex-sans"/>
          <w:color w:val="auto"/>
          <w:sz w:val="28"/>
          <w:szCs w:val="28"/>
          <w:lang w:val="ru-RU" w:eastAsia="ru-RU" w:bidi="ar-SA"/>
        </w:rPr>
        <w:t xml:space="preserve">.</w:t>
      </w:r>
      <w:r>
        <w:rPr>
          <w:rFonts w:ascii="yandex-sans" w:hAnsi="yandex-sans"/>
          <w:color w:val="5b9bd5" w:themeColor="accen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Ключевыми направлениями социологических исследований являются: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1) информированность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об обязательных требованиях, о принятых и готовящихся изменениях в си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стеме обязательных требований,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 и правах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в ходе проверки;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и контрольным (надзорным) органом;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3) вовлечение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в регулярное взаимодействие с контрольным надзорным органом.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16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ежегодно (по итогам календарного года).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Отклонение фактического значения показателя от планового значения показателя профилактических мероприятий определяется по формуле: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</w:r>
    </w:p>
    <w:p>
      <w:pPr>
        <w:pStyle w:val="968"/>
        <w:ind w:left="0"/>
        <w:jc w:val="center"/>
        <w:shd w:val="clear" w:color="ffffff" w:fill="ffffff" w:themeFill="background1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position w:val="-28"/>
          <w:sz w:val="28"/>
          <w:szCs w:val="28"/>
          <w:lang w:val="ru-RU" w:eastAsia="ru-RU" w:bidi="ar-SA"/>
        </w:rPr>
      </w:r>
      <m:oMath>
        <m:r>
          <w:rPr>
            <w:rFonts w:ascii="Cambria Math" w:hAnsi="Cambria Math" w:eastAsia="Cambria Math" w:cs="Cambria Math"/>
          </w:rPr>
          <m:rPr/>
          <m:t>Β</m:t>
        </m:r>
        <m:r>
          <w:rPr>
            <w:rFonts w:ascii="Cambria Math" w:hAnsi="Cambria Math" w:eastAsia="Cambria Math" w:cs="Cambria Math"/>
          </w:rPr>
          <m:rPr/>
          <m:t>ι=</m:t>
        </m:r>
        <m:f>
          <m:fPr>
            <m:ctrlPr>
              <w:rPr>
                <w:rFonts w:ascii="Cambria Math" w:hAnsi="Cambria Math" w:eastAsia="Cambria Math" w:cs="Cambria Math"/>
                <w:i/>
              </w:rPr>
            </m:ctrlPr>
          </m:fPr>
          <m:num>
            <m:r>
              <w:rPr>
                <w:rFonts w:ascii="Cambria Math" w:hAnsi="Cambria Math" w:eastAsia="Cambria Math" w:cs="Cambria Math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highlight w:val="none"/>
                <w:u w:val="none"/>
                <w:vertAlign w:val="baseline"/>
                <w:lang w:val="ru-RU" w:eastAsia="en-US" w:bidi="ru-RU"/>
              </w:rPr>
              <m:rPr/>
              <m:t>Φ</m:t>
            </m:r>
            <m:r>
              <w:rPr>
                <w:rFonts w:ascii="Cambria Math" w:hAnsi="Cambria Math" w:eastAsia="Cambria Math" w:cs="Cambria Math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highlight w:val="none"/>
                <w:u w:val="none"/>
                <w:vertAlign w:val="baseline"/>
                <w:lang w:val="ru-RU" w:eastAsia="en-US" w:bidi="ru-RU"/>
              </w:rPr>
              <m:rPr/>
              <m:t>ι</m:t>
            </m:r>
          </m:num>
          <m:den>
            <m:r>
              <w:rPr>
                <w:rFonts w:ascii="Cambria Math" w:hAnsi="Cambria Math" w:eastAsia="Cambria Math" w:cs="Cambria Math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highlight w:val="none"/>
                <w:u w:val="none"/>
                <w:vertAlign w:val="baseline"/>
                <w:lang w:val="ru-RU" w:eastAsia="en-US" w:bidi="ru-RU"/>
              </w:rPr>
              <m:rPr/>
              <m:t>Π</m:t>
            </m:r>
            <m:r>
              <w:rPr>
                <w:rFonts w:ascii="Cambria Math" w:hAnsi="Cambria Math" w:eastAsia="Cambria Math" w:cs="Cambria Math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highlight w:val="none"/>
                <w:u w:val="none"/>
                <w:vertAlign w:val="baseline"/>
                <w:lang w:val="ru-RU" w:eastAsia="en-US" w:bidi="ru-RU"/>
              </w:rPr>
              <m:rPr/>
              <m:t>ι</m:t>
            </m:r>
          </m:den>
        </m:f>
      </m:oMath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</w:r>
      <m:oMath>
        <m:r>
          <w:rPr>
            <w:rFonts w:ascii="Cambria Math" w:hAnsi="Cambria Math" w:eastAsia="Cambria Math" w:cs="Cambria Math"/>
          </w:rPr>
          <m:rPr/>
          <m:t>×</m:t>
        </m:r>
        <m:r>
          <w:rPr>
            <w:rFonts w:ascii="Cambria Math" w:hAnsi="Cambria Math" w:eastAsia="Cambria Math" w:cs="Cambria Math"/>
          </w:rPr>
          <m:rPr/>
          <m:t>100% ,</m:t>
        </m:r>
      </m:oMath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где: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i - номер показателя;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- отклонение фактического значения i-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показателя от планового значения i-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показателя;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- фактическое значение i-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- плановое значение i-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показател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я профилактических мероприятий.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</w:r>
    </w:p>
    <w:p>
      <w:pPr>
        <w:pStyle w:val="968"/>
        <w:ind w:left="0"/>
        <w:jc w:val="center"/>
        <w:shd w:val="clear" w:color="ffffff" w:fill="ffffff" w:themeFill="background1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position w:val="-28"/>
          <w:sz w:val="28"/>
          <w:szCs w:val="28"/>
          <w:lang w:val="ru-RU" w:eastAsia="ru-RU" w:bidi="ar-SA"/>
        </w:rPr>
      </w:r>
      <m:oMath>
        <m:r>
          <w:rPr>
            <w:rFonts w:ascii="Cambria Math" w:hAnsi="Cambria Math" w:eastAsia="Cambria Math" w:cs="Cambria Math"/>
          </w:rPr>
          <m:rPr/>
          <m:t>Β</m:t>
        </m:r>
        <m:r>
          <w:rPr>
            <w:rFonts w:ascii="Cambria Math" w:hAnsi="Cambria Math" w:eastAsia="Cambria Math" w:cs="Cambria Math"/>
          </w:rPr>
          <m:rPr/>
          <m:t>ι=</m:t>
        </m:r>
        <m:f>
          <m:fPr>
            <m:ctrlPr>
              <w:rPr>
                <w:rFonts w:ascii="Cambria Math" w:hAnsi="Cambria Math" w:eastAsia="Cambria Math" w:cs="Cambria Math"/>
                <w:i/>
              </w:rPr>
            </m:ctrlPr>
          </m:fPr>
          <m:num>
            <m:r>
              <w:rPr>
                <w:rFonts w:ascii="Cambria Math" w:hAnsi="Cambria Math" w:eastAsia="Cambria Math" w:cs="Cambria Math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highlight w:val="none"/>
                <w:u w:val="none"/>
                <w:vertAlign w:val="baseline"/>
                <w:lang w:val="ru-RU" w:eastAsia="en-US" w:bidi="ru-RU"/>
              </w:rPr>
              <m:rPr/>
              <m:t>Φ</m:t>
            </m:r>
            <m:r>
              <w:rPr>
                <w:rFonts w:ascii="Cambria Math" w:hAnsi="Cambria Math" w:eastAsia="Cambria Math" w:cs="Cambria Math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highlight w:val="none"/>
                <w:u w:val="none"/>
                <w:vertAlign w:val="baseline"/>
                <w:lang w:val="ru-RU" w:eastAsia="en-US" w:bidi="ru-RU"/>
              </w:rPr>
              <m:rPr/>
              <m:t>ι</m:t>
            </m:r>
          </m:num>
          <m:den>
            <m:r>
              <w:rPr>
                <w:rFonts w:ascii="Cambria Math" w:hAnsi="Cambria Math" w:eastAsia="Cambria Math" w:cs="Cambria Math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highlight w:val="none"/>
                <w:u w:val="none"/>
                <w:vertAlign w:val="baseline"/>
                <w:lang w:val="ru-RU" w:eastAsia="en-US" w:bidi="ru-RU"/>
              </w:rPr>
              <m:rPr/>
              <m:t>Π</m:t>
            </m:r>
            <m:r>
              <w:rPr>
                <w:rFonts w:ascii="Cambria Math" w:hAnsi="Cambria Math" w:eastAsia="Cambria Math" w:cs="Cambria Math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highlight w:val="none"/>
                <w:u w:val="none"/>
                <w:vertAlign w:val="baseline"/>
                <w:lang w:val="ru-RU" w:eastAsia="en-US" w:bidi="ru-RU"/>
              </w:rPr>
              <m:rPr/>
              <m:t>ι</m:t>
            </m:r>
          </m:den>
        </m:f>
      </m:oMath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</w:r>
      <m:oMath>
        <m:r>
          <w:rPr>
            <w:rFonts w:ascii="Cambria Math" w:hAnsi="Cambria Math" w:eastAsia="Cambria Math" w:cs="Cambria Math"/>
          </w:rPr>
          <m:rPr/>
          <m:t>×</m:t>
        </m:r>
        <m:r>
          <w:rPr>
            <w:rFonts w:ascii="Cambria Math" w:hAnsi="Cambria Math" w:eastAsia="Cambria Math" w:cs="Cambria Math"/>
          </w:rPr>
          <m:rPr/>
          <m:t>100% </m:t>
        </m:r>
      </m:oMath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где: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</w:r>
    </w:p>
    <w:p>
      <w:pPr>
        <w:pStyle w:val="968"/>
        <w:ind w:left="0" w:firstLine="567"/>
        <w:shd w:val="clear" w:color="ffffff" w:fill="ffffff" w:themeFill="background1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при </w:t>
      </w:r>
      <w:r>
        <w:rPr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278130"/>
                <wp:effectExtent l="0" t="0" r="1905" b="7620"/>
                <wp:docPr id="16" name="Рисунок 2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40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46">
                          <a:extLst>
                            <a:ext uri="{96DAC541-7B7A-43D3-8B79-37D633B846F1}">
                              <asvg:svgBlip xmlns:asvg="http://schemas.microsoft.com/office/drawing/2016/SVG/main" r:embed="rId4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83894" cy="278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53.85pt;height:21.90pt;mso-wrap-distance-left:0.00pt;mso-wrap-distance-top:0.00pt;mso-wrap-distance-right:0.00pt;mso-wrap-distance-bottom:0.00pt;" stroked="f">
                <v:path textboxrect="0,0,0,0"/>
                <v:imagedata r:id="rId46" o:title=""/>
              </v:shape>
            </w:pict>
          </mc:Fallback>
        </mc:AlternateConten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, то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6770" cy="278130"/>
                <wp:effectExtent l="0" t="0" r="0" b="7620"/>
                <wp:docPr id="17" name="Рисунок 2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4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48">
                          <a:extLst>
                            <a:ext uri="{96DAC541-7B7A-43D3-8B79-37D633B846F1}">
                              <asvg:svgBlip xmlns:asvg="http://schemas.microsoft.com/office/drawing/2016/SVG/main" r:embed="rId4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267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65.10pt;height:21.90pt;mso-wrap-distance-left:0.00pt;mso-wrap-distance-top:0.00pt;mso-wrap-distance-right:0.00pt;mso-wrap-distance-bottom:0.00pt;" stroked="f">
                <v:path textboxrect="0,0,0,0"/>
                <v:imagedata r:id="rId48" o:title=""/>
              </v:shape>
            </w:pict>
          </mc:Fallback>
        </mc:AlternateConten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.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по следующей формуле: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/>
        <w:jc w:val="center"/>
        <w:shd w:val="clear" w:color="ffffff" w:fill="ffffff" w:themeFill="background1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/>
      <m:oMath>
        <m:nary>
          <m:naryPr>
            <m:chr m:val="∏"/>
            <m:grow m:val="off"/>
            <m:limLoc m:val="subSup"/>
            <m:supHide m:val="on"/>
            <m:ctrlPr>
              <w:rPr>
                <w:rFonts w:ascii="Cambria Math" w:hAnsi="Cambria Math" w:eastAsia="Cambria Math" w:cs="Cambria Math"/>
                <w:i/>
              </w:rPr>
            </m:ctrlPr>
          </m:naryPr>
          <m:sub>
            <m:r>
              <w:rPr>
                <w:rFonts w:ascii="Cambria Math" w:hAnsi="Cambria Math" w:eastAsia="Cambria Math" w:cs="Cambria Math"/>
              </w:rPr>
              <m:rPr>
                <m:sty m:val="i"/>
              </m:rPr>
              <m:t>эф</m:t>
            </m:r>
          </m:sub>
          <m:sup/>
          <m:e>
            <m:r>
              <w:rPr>
                <w:rFonts w:ascii="Cambria Math" w:hAnsi="Cambria Math" w:eastAsia="Cambria Math" w:cs="Cambria Math"/>
              </w:rPr>
              <m:rPr>
                <m:sty m:val="i"/>
              </m:rPr>
              <m:t>=</m:t>
            </m:r>
            <m:f>
              <m:fPr>
                <m:ctrlPr>
                  <w:rPr>
                    <w:rFonts w:ascii="Cambria Math" w:hAnsi="Cambria Math" w:eastAsia="Cambria Math" w:cs="Cambria Math"/>
                    <w:i/>
                  </w:rPr>
                </m:ctrlPr>
              </m:fPr>
              <m:num>
                <m:r>
                  <w:rPr>
                    <w:rFonts w:ascii="Cambria Math" w:hAnsi="Cambria Math" w:eastAsia="Cambria Math" w:cs="Cambria Math"/>
                    <w:caps w:val="0"/>
                    <w:smallCaps w:val="0"/>
                    <w:strike w:val="0"/>
                    <w:color w:val="auto"/>
                    <w:spacing w:val="0"/>
                    <w:position w:val="0"/>
                    <w:sz w:val="26"/>
                    <w:highlight w:val="none"/>
                    <w:u w:val="none"/>
                    <w:vertAlign w:val="baseline"/>
                    <w:lang w:val="ru-RU" w:eastAsia="en-US" w:bidi="ru-RU"/>
                  </w:rPr>
                  <m:rPr/>
                  <m:t>Σ</m:t>
                </m:r>
                <m:r>
                  <w:rPr>
                    <w:rFonts w:ascii="Cambria Math" w:hAnsi="Cambria Math" w:eastAsia="Cambria Math" w:cs="Cambria Math"/>
                    <w:caps w:val="0"/>
                    <w:smallCaps w:val="0"/>
                    <w:strike w:val="0"/>
                    <w:color w:val="auto"/>
                    <w:spacing w:val="0"/>
                    <w:position w:val="0"/>
                    <w:sz w:val="26"/>
                    <w:highlight w:val="none"/>
                    <w:u w:val="none"/>
                    <w:vertAlign w:val="baseline"/>
                    <w:lang w:val="ru-RU" w:eastAsia="en-US" w:bidi="ru-RU"/>
                  </w:rPr>
                  <m:rPr/>
                  <m:t>Β</m:t>
                </m:r>
                <m:r>
                  <w:rPr>
                    <w:rFonts w:ascii="Cambria Math" w:hAnsi="Cambria Math" w:eastAsia="Cambria Math" w:cs="Cambria Math"/>
                    <w:caps w:val="0"/>
                    <w:smallCaps w:val="0"/>
                    <w:strike w:val="0"/>
                    <w:color w:val="auto"/>
                    <w:spacing w:val="0"/>
                    <w:position w:val="0"/>
                    <w:sz w:val="26"/>
                    <w:highlight w:val="none"/>
                    <w:u w:val="none"/>
                    <w:vertAlign w:val="baseline"/>
                    <w:lang w:val="ru-RU" w:eastAsia="en-US" w:bidi="ru-RU"/>
                  </w:rPr>
                  <m:rPr/>
                  <m:t>ι</m:t>
                </m:r>
              </m:num>
              <m:den>
                <m:r>
                  <w:rPr>
                    <w:rFonts w:ascii="Cambria Math" w:hAnsi="Cambria Math" w:eastAsia="Cambria Math" w:cs="Cambria Math"/>
                    <w:lang w:val="en-US"/>
                  </w:rPr>
                  <m:rPr/>
                  <m:t>N</m:t>
                </m:r>
              </m:den>
            </m:f>
          </m:e>
        </m:nary>
      </m:oMath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где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Пэф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lang w:val="ru-RU" w:eastAsia="ru-RU" w:bidi="ar-SA"/>
        </w:rPr>
      </w:r>
      <m:oMath>
        <m:r>
          <w:rPr>
            <w:rFonts w:ascii="Cambria Math" w:hAnsi="Cambria Math" w:eastAsia="Cambria Math" w:cs="Cambria Math"/>
            <w:sz w:val="28"/>
          </w:rPr>
          <m:rPr/>
          <m:t>Σ</m:t>
        </m:r>
      </m:oMath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</w:r>
      <m:oMath>
        <m:r>
          <w:rPr>
            <w:rFonts w:ascii="Cambria Math" w:hAnsi="Cambria Math" w:eastAsia="Cambria Math" w:cs="Cambria Math"/>
          </w:rPr>
          <m:rPr/>
          <m:t>Β</m:t>
        </m:r>
        <m:r>
          <w:rPr>
            <w:rFonts w:ascii="Cambria Math" w:hAnsi="Cambria Math" w:eastAsia="Cambria Math" w:cs="Cambria Math"/>
          </w:rPr>
          <m:rPr/>
          <m:t>ι</m:t>
        </m:r>
      </m:oMath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- сумма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отклонений фактических значений показателей Программы профилактики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от плановых значений по итогам календарного года;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N - общее количество показателей Программы профилактики.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В случае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Пэф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равным 100 %.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jc w:val="lef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По итогам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оценки эффективности реализации Программы профилактики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определяется уровень профилактической работы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8"/>
        <w:ind w:left="0" w:firstLine="567"/>
        <w:jc w:val="left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</w:r>
    </w:p>
    <w:tbl>
      <w:tblPr>
        <w:tblW w:w="9923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рограммы профилактики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5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1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80%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профилактических мероприятий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81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9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0%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профилактических мероприятий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91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7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 w:themeColor="text1"/>
                <w:u w:val="single"/>
              </w:rPr>
              <w:t xml:space="preserve">контрольного (надзорного) органа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Недопустимый уровень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Низкий уровень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уровень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лидерства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9"/>
        <w:ind w:left="0" w:firstLine="0"/>
        <w:spacing w:line="296" w:lineRule="exact"/>
        <w:rPr>
          <w:sz w:val="28"/>
        </w:rPr>
        <w:sectPr>
          <w:headerReference w:type="default" r:id="rId11"/>
          <w:footerReference w:type="default" r:id="rId15"/>
          <w:footnotePr/>
          <w:endnotePr/>
          <w:type w:val="nextPage"/>
          <w:pgSz w:w="11906" w:h="16838" w:orient="portrait"/>
          <w:pgMar w:top="1134" w:right="567" w:bottom="1276" w:left="1418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sz w:val="28"/>
        </w:rPr>
      </w:r>
      <w:r>
        <w:rPr>
          <w:sz w:val="28"/>
        </w:rPr>
      </w:r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Приложение</w:t>
      </w:r>
      <w:r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</w:r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План-график</w:t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Проведения</w:t>
      </w:r>
      <w:r>
        <w:rPr>
          <w:rFonts w:ascii="Times New Roman" w:hAnsi="Times New Roman"/>
          <w:sz w:val="26"/>
          <w:szCs w:val="26"/>
        </w:rPr>
        <w:t xml:space="preserve"> профилактических мероприятий муниципального округа Серебряные Пруды Московской области</w:t>
      </w:r>
      <w:r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(ущерба)</w:t>
      </w:r>
      <w:r>
        <w:rPr>
          <w:rFonts w:ascii="Times New Roman" w:hAnsi="Times New Roman"/>
          <w:sz w:val="26"/>
          <w:szCs w:val="26"/>
        </w:rPr>
        <w:t xml:space="preserve"> охраняемым законом ценностям в сфере муниципального контроля в сфере благоустройства на территории муниципального округа Серебряные Пруды Московской области</w:t>
      </w:r>
      <w:r>
        <w:rPr>
          <w:rFonts w:ascii="Times New Roman" w:hAnsi="Times New Roman"/>
          <w:color w:val="0070c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2026</w:t>
      </w:r>
      <w:r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</w:r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15997" w:type="dxa"/>
        <w:tblInd w:w="-55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2552"/>
        <w:gridCol w:w="1578"/>
        <w:gridCol w:w="617"/>
        <w:gridCol w:w="923"/>
        <w:gridCol w:w="1256"/>
        <w:gridCol w:w="2552"/>
        <w:gridCol w:w="1578"/>
        <w:gridCol w:w="1540"/>
      </w:tblGrid>
      <w:tr>
        <w:tblPrEx/>
        <w:trPr/>
        <w:tc>
          <w:tcPr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997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Этапы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Актуализация и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размещение на официальном сайте муниципального округа Серебряные Пруды Московской области (далее- контрольный (надзорный) орган)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shd w:val="clear" w:color="ffffff" w:fill="ffffff" w:themeFill="background1"/>
              <w:rPr>
                <w:rFonts w:ascii="Verdana" w:hAnsi="Verdana" w:cs="Segoe U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 течении 10 дней с даты принятия нормативного правового акта и (или) внесения изменений в нормативные правовые акты</w:t>
            </w:r>
            <w:r>
              <w:rPr>
                <w:color w:val="000000" w:themeColor="text1"/>
              </w:rPr>
            </w:r>
            <w:r>
              <w:rPr>
                <w:rFonts w:ascii="Verdana" w:hAnsi="Verdana" w:cs="Segoe UI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Советующий раздел на сайте </w:t>
            </w:r>
            <w:r>
              <w:rPr>
                <w:rFonts w:ascii="Times New Roman" w:hAnsi="Times New Roman" w:eastAsia="Times New Roman"/>
                <w:b w:val="0"/>
                <w:sz w:val="20"/>
                <w:u w:val="none"/>
                <w:shd w:val="clear" w:color="ffffff" w:fill="ffffff" w:themeFill="background1"/>
              </w:rPr>
              <w:t xml:space="preserve">контрольного (надзорного) органа </w:t>
            </w:r>
            <w:r>
              <w:rPr>
                <w:rFonts w:ascii="Times New Roman" w:hAnsi="Times New Roman" w:eastAsia="Times New Roman"/>
                <w:sz w:val="20"/>
              </w:rPr>
              <w:t xml:space="preserve">содержит актуальную информацию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</w:t>
            </w:r>
            <w:r>
              <w:rPr>
                <w:rFonts w:ascii="Times New Roman" w:hAnsi="Times New Roman" w:eastAsia="Times New Roman"/>
                <w:b w:val="0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 w:themeColor="text1"/>
                <w:sz w:val="20"/>
              </w:rPr>
              <w:t xml:space="preserve">контрольного </w:t>
            </w:r>
            <w:r>
              <w:rPr>
                <w:rFonts w:ascii="Times New Roman" w:hAnsi="Times New Roman" w:eastAsia="Times New Roman"/>
                <w:b w:val="0"/>
                <w:i/>
                <w:color w:val="000000" w:themeColor="text1"/>
                <w:sz w:val="20"/>
              </w:rPr>
              <w:t xml:space="preserve">(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 w:themeColor="text1"/>
                <w:sz w:val="20"/>
              </w:rPr>
              <w:t xml:space="preserve">надзорного</w:t>
            </w:r>
            <w:r>
              <w:rPr>
                <w:rFonts w:ascii="Times New Roman" w:hAnsi="Times New Roman" w:eastAsia="Times New Roman"/>
                <w:b w:val="0"/>
                <w:i/>
                <w:color w:val="000000" w:themeColor="text1"/>
                <w:sz w:val="20"/>
              </w:rPr>
              <w:t xml:space="preserve">)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 w:themeColor="text1"/>
                <w:sz w:val="20"/>
              </w:rPr>
              <w:t xml:space="preserve">органа</w:t>
            </w:r>
            <w:r>
              <w:rPr>
                <w:rFonts w:ascii="Times New Roman" w:hAnsi="Times New Roman" w:eastAsia="Times New Roman"/>
                <w:i w:val="0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</w:rPr>
              <w:t xml:space="preserve">в разделе «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Контрольно-надзорная деятельность</w:t>
            </w:r>
            <w:r>
              <w:rPr>
                <w:rFonts w:ascii="Times New Roman" w:hAnsi="Times New Roman" w:eastAsia="Times New Roman"/>
                <w:sz w:val="20"/>
              </w:rPr>
              <w:t xml:space="preserve">».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shd w:val="clear" w:color="ffffff" w:fill="ffffff" w:themeFill="background1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Ежегодно до 15 марта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</w:rPr>
              <w:t xml:space="preserve">путем подготовки и размещения на официальном сайте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  <w:t xml:space="preserve"> в разделе «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Контрольно-надзорная деятельность</w:t>
            </w:r>
            <w:r>
              <w:rPr>
                <w:rFonts w:ascii="Times New Roman" w:hAnsi="Times New Roman" w:eastAsia="Times New Roman"/>
                <w:sz w:val="20"/>
              </w:rPr>
              <w:t xml:space="preserve">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shd w:val="clear" w:color="ffffff" w:fill="ffffff" w:themeFill="background1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 течении 10 дней с даты принятия нормативного правового акта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</w:rPr>
              <w:t xml:space="preserve">и актуализация проверочных листов (по содержанию и технически) в соответствии с действующим законодательством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shd w:val="clear" w:color="ffffff" w:fill="ffffff" w:themeFill="background1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В течении 10 дней с даты утверждения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ствующих нарушению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Актуализация информации о поряд</w:t>
            </w:r>
            <w:r>
              <w:rPr>
                <w:rFonts w:ascii="Times New Roman" w:hAnsi="Times New Roman"/>
                <w:sz w:val="20"/>
              </w:rPr>
              <w:t xml:space="preserve">ке и сроках осуществления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контрольного 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(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надзорного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)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органом </w:t>
            </w:r>
            <w:r>
              <w:rPr>
                <w:rFonts w:ascii="Times New Roman" w:hAnsi="Times New Roman"/>
                <w:sz w:val="20"/>
              </w:rPr>
              <w:t xml:space="preserve">муниципального контроля в сфере благоустройства на территории муниципального округа Серебряные Пруды Московской области (далее- государственный контроль( надзор)</w:t>
            </w:r>
            <w:r>
              <w:rPr>
                <w:rFonts w:ascii="Times New Roman" w:hAnsi="Times New Roman"/>
                <w:sz w:val="20"/>
              </w:rPr>
              <w:t xml:space="preserve"> и размещение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  <w:r>
              <w:rPr>
                <w:rFonts w:ascii="Times New Roman" w:hAnsi="Times New Roman" w:eastAsia="Times New Roman"/>
                <w:b/>
                <w:color w:val="ff0000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shd w:val="clear" w:color="ffffff" w:fill="ffffff" w:themeFill="background1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Постоянно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прозрачности системы контрольно-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надзорной деятельности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</w:rPr>
              <w:t xml:space="preserve">бобщение правоприменительной практики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Формирование и размещение на официальном сайте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Перечня типичных нарушений обязательных требований, установленных правовыми актами в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подконтрольной сфере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, выявленных в результате анализа и обобщения правоприменительной практики контрольно-надзорной деятельности </w:t>
            </w:r>
            <w:bookmarkStart w:id="5" w:name="_GoBack"/>
            <w:r/>
            <w:bookmarkEnd w:id="5"/>
            <w:r/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shd w:val="clear" w:color="ffffff" w:fill="ffffff" w:themeFill="background1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Ежегодно до 15 марта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Размещение на официальном сайте Комитета обзора правоприменительной практики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 предостережений о недопустимости нарушений обязательных требований в </w:t>
            </w:r>
            <w:r>
              <w:rPr>
                <w:rFonts w:ascii="Times New Roman" w:hAnsi="Times New Roman" w:eastAsia="Times New Roman"/>
                <w:sz w:val="20"/>
              </w:rPr>
              <w:t xml:space="preserve">подконтрольной сфере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shd w:val="clear" w:color="ffffff" w:fill="ffffff" w:themeFill="background1"/>
              <w:rPr>
                <w:rFonts w:ascii="Verdana" w:hAnsi="Verdana" w:cs="Segoe U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Постоянно</w:t>
            </w:r>
            <w:r>
              <w:rPr>
                <w:color w:val="000000" w:themeColor="text1"/>
              </w:rPr>
            </w:r>
            <w:r>
              <w:rPr>
                <w:rFonts w:ascii="Verdana" w:hAnsi="Verdana" w:cs="Segoe UI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инимизация возможных рисков нар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ушений 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8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</w:t>
            </w:r>
            <w:r>
              <w:rPr>
                <w:rFonts w:ascii="Times New Roman" w:hAnsi="Times New Roman"/>
                <w:sz w:val="20"/>
              </w:rPr>
              <w:t xml:space="preserve">онсультация по вопросам соблюдения обязательных требований 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</w:rPr>
              <w:t xml:space="preserve">консультаций </w:t>
            </w:r>
            <w:r>
              <w:rPr>
                <w:rFonts w:ascii="Times New Roman" w:hAnsi="Times New Roman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  <w:r>
              <w:rPr>
                <w:rFonts w:ascii="Verdana" w:hAnsi="Verdana" w:cs="Segoe UI"/>
                <w:sz w:val="20"/>
                <w:lang w:eastAsia="ru-RU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after="0" w:line="240" w:lineRule="auto"/>
              <w:shd w:val="clear" w:color="ffffff" w:fill="ffffff" w:themeFill="background1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 течении 5 рабочих дней со дня поступления обращений от контролируемых лиц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shd w:val="clear" w:color="ffffff" w:fill="ffffff" w:themeFill="background1"/>
              <w:rPr>
                <w:rFonts w:ascii="Times New Roman" w:hAnsi="Times New Roman" w:eastAsia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</w:rPr>
              <w:t xml:space="preserve">По мере необходимости , но не реже 1 раза в квартал</w:t>
            </w:r>
            <w:r>
              <w:rPr>
                <w:color w:val="auto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населения в подконтрольной сфере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юридических лиц и индивидуальных предпринимателей по вопросам соблюдения обяз</w:t>
            </w:r>
            <w:r>
              <w:rPr>
                <w:rFonts w:ascii="Times New Roman" w:hAnsi="Times New Roman" w:eastAsia="Times New Roman"/>
                <w:sz w:val="20"/>
              </w:rPr>
              <w:t xml:space="preserve">ательных требований на </w:t>
            </w:r>
            <w:r>
              <w:rPr>
                <w:rFonts w:ascii="Times New Roman" w:hAnsi="Times New Roman" w:eastAsia="Times New Roman"/>
                <w:sz w:val="20"/>
              </w:rPr>
              <w:t xml:space="preserve">семинар</w:t>
            </w:r>
            <w:r>
              <w:rPr>
                <w:rFonts w:ascii="Times New Roman" w:hAnsi="Times New Roman" w:eastAsia="Times New Roman"/>
                <w:sz w:val="20"/>
              </w:rPr>
              <w:t xml:space="preserve">ах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</w:rPr>
              <w:t xml:space="preserve">(вебинарах)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shd w:val="clear" w:color="ffffff" w:fill="ffffff" w:themeFill="background1"/>
              <w:rPr>
                <w:rFonts w:ascii="Times New Roman" w:hAnsi="Times New Roman" w:eastAsia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Ежеквартально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разъяснительн</w:t>
            </w:r>
            <w:r>
              <w:rPr>
                <w:rFonts w:ascii="Times New Roman" w:hAnsi="Times New Roman" w:eastAsia="Times New Roman"/>
                <w:sz w:val="20"/>
              </w:rPr>
              <w:t xml:space="preserve">ой работы относительно контрольных надзорных мероприятий </w:t>
            </w:r>
            <w:r>
              <w:rPr>
                <w:rFonts w:ascii="Times New Roman" w:hAnsi="Times New Roman" w:eastAsia="Times New Roman"/>
                <w:sz w:val="20"/>
              </w:rPr>
              <w:t xml:space="preserve">в части предоставления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контролируемым лицам</w:t>
            </w:r>
            <w:r>
              <w:rPr>
                <w:rFonts w:ascii="Times New Roman" w:hAnsi="Times New Roman" w:eastAsia="Times New Roman"/>
                <w:sz w:val="20"/>
              </w:rPr>
              <w:t xml:space="preserve"> информации об их правах и обязанностях </w:t>
            </w:r>
            <w:r>
              <w:rPr>
                <w:rFonts w:ascii="Times New Roman" w:hAnsi="Times New Roman" w:eastAsia="Times New Roman"/>
                <w:sz w:val="20"/>
              </w:rPr>
              <w:t xml:space="preserve">при проведении контрольно-надзорных мероприятий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shd w:val="clear" w:color="ffffff" w:fill="ffffff" w:themeFill="background1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 w:val="0"/>
                <w:color w:val="auto"/>
                <w:sz w:val="20"/>
              </w:rPr>
              <w:t xml:space="preserve">По мере </w:t>
            </w:r>
            <w:r>
              <w:rPr>
                <w:rFonts w:ascii="Times New Roman" w:hAnsi="Times New Roman"/>
                <w:i w:val="0"/>
                <w:color w:val="auto"/>
                <w:sz w:val="20"/>
              </w:rPr>
              <w:t xml:space="preserve">необходимости</w:t>
            </w:r>
            <w:r>
              <w:rPr>
                <w:color w:val="auto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>
          <w:trHeight w:val="7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12.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</w:t>
            </w:r>
            <w:r>
              <w:rPr>
                <w:rFonts w:ascii="Times New Roman" w:hAnsi="Times New Roman" w:eastAsia="Times New Roman"/>
                <w:sz w:val="20"/>
              </w:rPr>
              <w:t xml:space="preserve">рофилактически</w:t>
            </w:r>
            <w:r>
              <w:rPr>
                <w:rFonts w:ascii="Times New Roman" w:hAnsi="Times New Roman" w:eastAsia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/>
                <w:sz w:val="20"/>
              </w:rPr>
              <w:t xml:space="preserve"> визит</w:t>
            </w:r>
            <w:r>
              <w:rPr>
                <w:rFonts w:ascii="Times New Roman" w:hAnsi="Times New Roman" w:eastAsia="Times New Roman"/>
                <w:sz w:val="20"/>
              </w:rPr>
              <w:t xml:space="preserve">ов (обязательных профилактических визитов)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</w:t>
            </w:r>
            <w:r>
              <w:rPr>
                <w:rFonts w:ascii="Times New Roman" w:hAnsi="Times New Roman" w:eastAsia="Times New Roman"/>
                <w:sz w:val="20"/>
              </w:rPr>
              <w:t xml:space="preserve">в отношении контролируемых лиц,</w:t>
            </w:r>
            <w:r>
              <w:rPr>
                <w:rFonts w:ascii="Times New Roman" w:hAnsi="Times New Roman" w:eastAsia="Times New Roman"/>
                <w:sz w:val="20"/>
              </w:rPr>
              <w:t xml:space="preserve"> в том числе в отношении контролируемых лиц,</w:t>
            </w:r>
            <w:r>
              <w:rPr>
                <w:rFonts w:ascii="Times New Roman" w:hAnsi="Times New Roman" w:eastAsia="Times New Roman"/>
                <w:sz w:val="20"/>
              </w:rPr>
              <w:t xml:space="preserve"> приступающих к осуществлению деятельности в определенной сфере, а также в отношении объектов контроля, отнесенных к </w:t>
            </w:r>
            <w:r>
              <w:rPr>
                <w:rFonts w:ascii="Times New Roman" w:hAnsi="Times New Roman" w:eastAsia="Times New Roman"/>
                <w:sz w:val="20"/>
              </w:rPr>
              <w:t xml:space="preserve">категориям чрезвычайно высокого, высокого и значительного риска.</w:t>
            </w:r>
            <w:r>
              <w:rPr>
                <w:rFonts w:ascii="Times New Roman" w:hAnsi="Times New Roman" w:eastAsia="Times New Roman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shd w:val="clear" w:color="ffffff" w:fill="ffffff" w:themeFill="background1"/>
              <w:rPr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lang w:val="en-US"/>
              </w:rPr>
              <w:t xml:space="preserve">III 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lang w:val="ru-RU"/>
              </w:rPr>
              <w:t xml:space="preserve">квартал</w:t>
            </w:r>
            <w:r>
              <w:rPr>
                <w:i w:val="0"/>
                <w:color w:val="000000" w:themeColor="text1"/>
              </w:rPr>
            </w:r>
            <w:r>
              <w:rPr>
                <w:rFonts w:ascii="Times New Roman" w:hAnsi="Times New Roman"/>
                <w:i w:val="0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и информирование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>
          <w:trHeight w:val="7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Самообследование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Размещение на официальном сайте контрольного (надзорного) органа в разделе «Контрольно-надзорная деятельность» информацию о способах и процедуре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самообследования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 в автоматизированном режиме, в том числе методические рекомендации по проведению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самообследования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 и подготовке декларации соблюдения обязательных требований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0" w:right="60"/>
              <w:spacing w:after="0" w:line="240" w:lineRule="auto"/>
              <w:shd w:val="clear" w:color="ffffff" w:fill="ffffff" w:themeFill="background1"/>
              <w:rPr>
                <w:rFonts w:ascii="Times New Roman" w:hAnsi="Times New Roman"/>
                <w:i w:val="0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</w:rPr>
              <w:t xml:space="preserve">Ежегодно в 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lang w:val="ru-RU"/>
              </w:rPr>
              <w:t xml:space="preserve">квартал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lang w:val="ru-RU"/>
              </w:rPr>
              <w:t xml:space="preserve">е</w:t>
            </w:r>
            <w:r>
              <w:rPr>
                <w:rFonts w:ascii="Times New Roman" w:hAnsi="Times New Roman"/>
                <w:i w:val="0"/>
                <w:color w:val="000000"/>
                <w:sz w:val="20"/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lang w:eastAsia="ru-RU"/>
              </w:rPr>
              <w:t xml:space="preserve">Повышение уровня правовой грамотности контролируемых лиц. 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lang w:eastAsia="ru-RU"/>
              </w:rPr>
              <w:t xml:space="preserve">Минимизация возможных рисков нарушения обязательных требований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b05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color w:val="00b05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</w:rPr>
              <w:t xml:space="preserve">. 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</w:t>
            </w:r>
            <w:r>
              <w:rPr>
                <w:rFonts w:ascii="Times New Roman" w:hAnsi="Times New Roman"/>
                <w:sz w:val="20"/>
              </w:rPr>
              <w:t xml:space="preserve">состава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контрольного 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(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надзорного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)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органа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  <w:p>
            <w:pPr>
              <w:ind w:left="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контрольного 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(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надзорного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)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органа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по соблюдению обязательных требований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shd w:val="clear" w:color="ffffff" w:fill="ffffff" w:themeFill="background1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Ежегодно не позднее 15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марта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</w:t>
            </w:r>
            <w:r>
              <w:rPr>
                <w:rFonts w:ascii="Times New Roman" w:hAnsi="Times New Roman"/>
                <w:sz w:val="20"/>
              </w:rPr>
              <w:t xml:space="preserve">дарственного контроля (надзора)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контрольного 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(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надзорного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)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органа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15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руководителем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</w:t>
            </w:r>
            <w:r>
              <w:rPr>
                <w:rFonts w:ascii="Times New Roman" w:hAnsi="Times New Roman"/>
                <w:sz w:val="20"/>
              </w:rPr>
              <w:t xml:space="preserve">должностных лиц</w:t>
            </w:r>
            <w:r>
              <w:rPr>
                <w:rFonts w:ascii="Times New Roman" w:hAnsi="Times New Roman"/>
                <w:sz w:val="20"/>
              </w:rPr>
              <w:t xml:space="preserve">, уполномоченных на осуществление муниципального контроля (надзора).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shd w:val="clear" w:color="ffffff" w:fill="ffffff" w:themeFill="background1"/>
              <w:rPr>
                <w:rFonts w:ascii="Verdana" w:hAnsi="Verdana" w:cs="Segoe UI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Ежеквартально</w:t>
            </w:r>
            <w:r>
              <w:rPr>
                <w:color w:val="000000" w:themeColor="text1"/>
              </w:rPr>
            </w:r>
            <w:r>
              <w:rPr>
                <w:rFonts w:ascii="Verdana" w:hAnsi="Verdana" w:cs="Segoe UI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</w:t>
            </w:r>
            <w:r>
              <w:rPr>
                <w:rFonts w:ascii="Times New Roman" w:hAnsi="Times New Roman"/>
                <w:sz w:val="20"/>
              </w:rPr>
              <w:t xml:space="preserve">дарственного контроля (надзора)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к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онтрольного 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(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надзорного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</w:rPr>
              <w:t xml:space="preserve">) 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органа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t xml:space="preserve">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shd w:val="clear" w:color="ffffff" w:fill="ffffff" w:themeFill="background1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hd w:val="clear" w:color="ffffff" w:fill="ffffff" w:themeFill="background1"/>
              </w:rPr>
              <w:t xml:space="preserve">На постоянной основе</w:t>
            </w:r>
            <w:r>
              <w:rPr>
                <w:rFonts w:ascii="Verdana" w:hAnsi="Verdana" w:cs="Segoe UI"/>
                <w:sz w:val="20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  <w:t xml:space="preserve"> Коммуникаци</w:t>
            </w:r>
            <w:r>
              <w:rPr>
                <w:rFonts w:ascii="Times New Roman" w:hAnsi="Times New Roman" w:eastAsia="Times New Roman"/>
                <w:sz w:val="20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</w:rPr>
              <w:t xml:space="preserve"> с неограниченным кругом лиц по вопросам контрольной деятельности</w:t>
            </w:r>
            <w:r>
              <w:rPr>
                <w:rFonts w:ascii="Times New Roman" w:hAnsi="Times New Roman" w:eastAsia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color w:val="auto"/>
                <w:sz w:val="20"/>
              </w:rPr>
              <w:t xml:space="preserve">контрольного (надзорного) органа</w:t>
            </w:r>
            <w:r>
              <w:rPr>
                <w:color w:val="auto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tabs>
          <w:tab w:val="left" w:pos="9088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№1</w:t>
      </w:r>
      <w:r>
        <w:rPr>
          <w:rFonts w:ascii="Times New Roman" w:hAnsi="Times New Roman"/>
          <w:sz w:val="26"/>
          <w:szCs w:val="26"/>
        </w:rPr>
      </w:r>
    </w:p>
    <w:p>
      <w:pPr>
        <w:jc w:val="right"/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tabs>
          <w:tab w:val="left" w:pos="9088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еречень контролируемых лиц, в отношении которых проводятся профилактические визиты в 202</w:t>
      </w:r>
      <w:r>
        <w:rPr>
          <w:rFonts w:ascii="Times New Roman" w:hAnsi="Times New Roman" w:eastAsia="Times New Roman"/>
          <w:b/>
          <w:sz w:val="28"/>
          <w:szCs w:val="28"/>
        </w:rPr>
        <w:t xml:space="preserve">6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tabs>
          <w:tab w:val="left" w:pos="9088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964"/>
        <w:tblW w:w="13891" w:type="dxa"/>
        <w:tblInd w:w="534" w:type="dxa"/>
        <w:tblLook w:val="04A0" w:firstRow="1" w:lastRow="0" w:firstColumn="1" w:lastColumn="0" w:noHBand="0" w:noVBand="1"/>
      </w:tblPr>
      <w:tblGrid>
        <w:gridCol w:w="560"/>
        <w:gridCol w:w="2275"/>
        <w:gridCol w:w="2976"/>
        <w:gridCol w:w="777"/>
        <w:gridCol w:w="2625"/>
        <w:gridCol w:w="2410"/>
        <w:gridCol w:w="2268"/>
      </w:tblGrid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5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Муниципальный округ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контролируемого лица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объекта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нахождения объекта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проведения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5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25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908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12"/>
      <w:footnotePr/>
      <w:endnotePr/>
      <w:type w:val="nextPage"/>
      <w:pgSz w:w="16838" w:h="11906" w:orient="landscape"/>
      <w:pgMar w:top="28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mbria Math">
    <w:panose1 w:val="02000603000000000000"/>
  </w:font>
  <w:font w:name="Verdana">
    <w:panose1 w:val="020B0604030504040204"/>
  </w:font>
  <w:font w:name="yandex-san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center"/>
    </w:pPr>
    <w:r/>
    <w:r/>
  </w:p>
  <w:p>
    <w:pPr>
      <w:pStyle w:val="96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ind w:right="90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center"/>
    </w:pPr>
    <w:r/>
    <w:r/>
  </w:p>
  <w:p>
    <w:pPr>
      <w:pStyle w:val="9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tabs>
        <w:tab w:val="clear" w:pos="4677" w:leader="none"/>
        <w:tab w:val="left" w:pos="9107" w:leader="none"/>
        <w:tab w:val="left" w:pos="9227" w:leader="none"/>
        <w:tab w:val="left" w:pos="9332" w:leader="none"/>
        <w:tab w:val="clear" w:pos="9355" w:leader="none"/>
      </w:tabs>
      <w:rPr>
        <w:rFonts w:ascii="Times New Roman" w:hAnsi="Times New Roman" w:eastAsia="Times New Roman" w:cs="Times New Roman"/>
        <w:b/>
        <w:i w:val="0"/>
        <w:sz w:val="28"/>
      </w:rPr>
    </w:pPr>
    <w:r>
      <w:rPr>
        <w:rFonts w:ascii="Times New Roman" w:hAnsi="Times New Roman" w:eastAsia="Times New Roman" w:cs="Times New Roman"/>
        <w:b/>
        <w:sz w:val="28"/>
      </w:rPr>
    </w:r>
    <w:r>
      <w:tab/>
    </w:r>
    <w:r>
      <w:rPr>
        <w:rFonts w:ascii="Times New Roman" w:hAnsi="Times New Roman" w:eastAsia="Times New Roman" w:cs="Times New Roman"/>
        <w:b/>
        <w:i w:val="0"/>
        <w:sz w:val="28"/>
      </w:rPr>
    </w:r>
    <w:r>
      <w:rPr>
        <w:rFonts w:ascii="Times New Roman" w:hAnsi="Times New Roman" w:eastAsia="Times New Roman" w:cs="Times New Roman"/>
        <w:b/>
        <w:i w:val="0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ind w:firstLine="426"/>
      <w:jc w:val="center"/>
      <w:tabs>
        <w:tab w:val="clear" w:pos="9355" w:leader="none"/>
        <w:tab w:val="right" w:pos="9498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ind w:left="0" w:firstLine="0"/>
      <w:jc w:val="left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80"/>
      </w:pPr>
      <w:rPr>
        <w:rFonts w:hint="default" w:ascii="Times New Roman" w:hAnsi="Times New Roman" w:eastAsia="Times New Roman" w:cs="Times New Roman"/>
        <w:spacing w:val="-2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spacing w:val="-4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spacing w:val="-3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spacing w:val="-19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26"/>
      </w:pPr>
      <w:rPr>
        <w:rFonts w:hint="default" w:ascii="Times New Roman" w:hAnsi="Times New Roman" w:eastAsia="Times New Roman" w:cs="Times New Roman"/>
        <w:spacing w:val="-23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5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5"/>
  </w:num>
  <w:num w:numId="16">
    <w:abstractNumId w:val="8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91">
    <w:name w:val="table of figures"/>
    <w:basedOn w:val="946"/>
    <w:next w:val="946"/>
    <w:uiPriority w:val="99"/>
    <w:unhideWhenUsed/>
    <w:pPr>
      <w:spacing w:after="0" w:afterAutospacing="0"/>
    </w:pPr>
  </w:style>
  <w:style w:type="character" w:styleId="779">
    <w:name w:val="Heading 1 Char"/>
    <w:basedOn w:val="951"/>
    <w:link w:val="947"/>
    <w:uiPriority w:val="9"/>
    <w:rPr>
      <w:rFonts w:ascii="Arial" w:hAnsi="Arial" w:eastAsia="Arial" w:cs="Arial"/>
      <w:sz w:val="40"/>
      <w:szCs w:val="40"/>
    </w:rPr>
  </w:style>
  <w:style w:type="character" w:styleId="780">
    <w:name w:val="Heading 2 Char"/>
    <w:basedOn w:val="951"/>
    <w:link w:val="948"/>
    <w:uiPriority w:val="9"/>
    <w:rPr>
      <w:rFonts w:ascii="Arial" w:hAnsi="Arial" w:eastAsia="Arial" w:cs="Arial"/>
      <w:sz w:val="34"/>
    </w:rPr>
  </w:style>
  <w:style w:type="character" w:styleId="781">
    <w:name w:val="Heading 3 Char"/>
    <w:basedOn w:val="951"/>
    <w:link w:val="949"/>
    <w:uiPriority w:val="9"/>
    <w:rPr>
      <w:rFonts w:ascii="Arial" w:hAnsi="Arial" w:eastAsia="Arial" w:cs="Arial"/>
      <w:sz w:val="30"/>
      <w:szCs w:val="30"/>
    </w:rPr>
  </w:style>
  <w:style w:type="character" w:styleId="782">
    <w:name w:val="Heading 4 Char"/>
    <w:basedOn w:val="951"/>
    <w:link w:val="950"/>
    <w:uiPriority w:val="9"/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946"/>
    <w:next w:val="946"/>
    <w:link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4">
    <w:name w:val="Heading 5 Char"/>
    <w:basedOn w:val="951"/>
    <w:link w:val="783"/>
    <w:uiPriority w:val="9"/>
    <w:rPr>
      <w:rFonts w:ascii="Arial" w:hAnsi="Arial" w:eastAsia="Arial" w:cs="Arial"/>
      <w:b/>
      <w:bCs/>
      <w:sz w:val="24"/>
      <w:szCs w:val="24"/>
    </w:rPr>
  </w:style>
  <w:style w:type="paragraph" w:styleId="785">
    <w:name w:val="Heading 6"/>
    <w:basedOn w:val="946"/>
    <w:next w:val="946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6">
    <w:name w:val="Heading 6 Char"/>
    <w:basedOn w:val="951"/>
    <w:link w:val="785"/>
    <w:uiPriority w:val="9"/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946"/>
    <w:next w:val="946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>
    <w:name w:val="Heading 7 Char"/>
    <w:basedOn w:val="951"/>
    <w:link w:val="7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946"/>
    <w:next w:val="946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0">
    <w:name w:val="Heading 8 Char"/>
    <w:basedOn w:val="95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paragraph" w:styleId="791">
    <w:name w:val="Heading 9"/>
    <w:basedOn w:val="946"/>
    <w:next w:val="946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>
    <w:name w:val="Heading 9 Char"/>
    <w:basedOn w:val="951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No Spacing"/>
    <w:uiPriority w:val="1"/>
    <w:qFormat/>
    <w:pPr>
      <w:spacing w:before="0" w:after="0" w:line="240" w:lineRule="auto"/>
    </w:pPr>
  </w:style>
  <w:style w:type="paragraph" w:styleId="794">
    <w:name w:val="Title"/>
    <w:basedOn w:val="946"/>
    <w:next w:val="946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6"/>
    <w:next w:val="946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6"/>
    <w:next w:val="946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6"/>
    <w:next w:val="946"/>
    <w:link w:val="801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0"/>
    <w:uiPriority w:val="99"/>
  </w:style>
  <w:style w:type="character" w:styleId="803">
    <w:name w:val="Footer Char"/>
    <w:basedOn w:val="951"/>
    <w:link w:val="962"/>
    <w:uiPriority w:val="99"/>
  </w:style>
  <w:style w:type="character" w:styleId="804">
    <w:name w:val="Caption Char"/>
    <w:basedOn w:val="982"/>
    <w:link w:val="962"/>
    <w:uiPriority w:val="99"/>
  </w:style>
  <w:style w:type="table" w:styleId="805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4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5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6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7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8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9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910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911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912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913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14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915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916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917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918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919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920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21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922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923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0">
    <w:name w:val="footnote text"/>
    <w:basedOn w:val="946"/>
    <w:link w:val="931"/>
    <w:uiPriority w:val="99"/>
    <w:semiHidden/>
    <w:unhideWhenUsed/>
    <w:pPr>
      <w:spacing w:after="40" w:line="240" w:lineRule="auto"/>
    </w:pPr>
    <w:rPr>
      <w:sz w:val="18"/>
    </w:rPr>
  </w:style>
  <w:style w:type="character" w:styleId="931">
    <w:name w:val="Footnote Text Char"/>
    <w:link w:val="930"/>
    <w:uiPriority w:val="99"/>
    <w:rPr>
      <w:sz w:val="18"/>
    </w:rPr>
  </w:style>
  <w:style w:type="character" w:styleId="932">
    <w:name w:val="footnote reference"/>
    <w:basedOn w:val="951"/>
    <w:uiPriority w:val="99"/>
    <w:unhideWhenUsed/>
    <w:rPr>
      <w:vertAlign w:val="superscript"/>
    </w:rPr>
  </w:style>
  <w:style w:type="paragraph" w:styleId="933">
    <w:name w:val="endnote text"/>
    <w:basedOn w:val="946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>
    <w:name w:val="Endnote Text Char"/>
    <w:link w:val="933"/>
    <w:uiPriority w:val="99"/>
    <w:rPr>
      <w:sz w:val="20"/>
    </w:rPr>
  </w:style>
  <w:style w:type="character" w:styleId="935">
    <w:name w:val="endnote reference"/>
    <w:basedOn w:val="951"/>
    <w:uiPriority w:val="99"/>
    <w:semiHidden/>
    <w:unhideWhenUsed/>
    <w:rPr>
      <w:vertAlign w:val="superscript"/>
    </w:rPr>
  </w:style>
  <w:style w:type="paragraph" w:styleId="936">
    <w:name w:val="toc 1"/>
    <w:basedOn w:val="946"/>
    <w:next w:val="946"/>
    <w:uiPriority w:val="39"/>
    <w:unhideWhenUsed/>
    <w:pPr>
      <w:ind w:left="0" w:right="0" w:firstLine="0"/>
      <w:spacing w:after="57"/>
    </w:pPr>
  </w:style>
  <w:style w:type="paragraph" w:styleId="937">
    <w:name w:val="toc 2"/>
    <w:basedOn w:val="946"/>
    <w:next w:val="946"/>
    <w:uiPriority w:val="39"/>
    <w:unhideWhenUsed/>
    <w:pPr>
      <w:ind w:left="283" w:right="0" w:firstLine="0"/>
      <w:spacing w:after="57"/>
    </w:pPr>
  </w:style>
  <w:style w:type="paragraph" w:styleId="938">
    <w:name w:val="toc 3"/>
    <w:basedOn w:val="946"/>
    <w:next w:val="946"/>
    <w:uiPriority w:val="39"/>
    <w:unhideWhenUsed/>
    <w:pPr>
      <w:ind w:left="567" w:right="0" w:firstLine="0"/>
      <w:spacing w:after="57"/>
    </w:pPr>
  </w:style>
  <w:style w:type="paragraph" w:styleId="939">
    <w:name w:val="toc 4"/>
    <w:basedOn w:val="946"/>
    <w:next w:val="946"/>
    <w:uiPriority w:val="39"/>
    <w:unhideWhenUsed/>
    <w:pPr>
      <w:ind w:left="850" w:right="0" w:firstLine="0"/>
      <w:spacing w:after="57"/>
    </w:pPr>
  </w:style>
  <w:style w:type="paragraph" w:styleId="940">
    <w:name w:val="toc 5"/>
    <w:basedOn w:val="946"/>
    <w:next w:val="946"/>
    <w:uiPriority w:val="39"/>
    <w:unhideWhenUsed/>
    <w:pPr>
      <w:ind w:left="1134" w:right="0" w:firstLine="0"/>
      <w:spacing w:after="57"/>
    </w:pPr>
  </w:style>
  <w:style w:type="paragraph" w:styleId="941">
    <w:name w:val="toc 6"/>
    <w:basedOn w:val="946"/>
    <w:next w:val="946"/>
    <w:uiPriority w:val="39"/>
    <w:unhideWhenUsed/>
    <w:pPr>
      <w:ind w:left="1417" w:right="0" w:firstLine="0"/>
      <w:spacing w:after="57"/>
    </w:pPr>
  </w:style>
  <w:style w:type="paragraph" w:styleId="942">
    <w:name w:val="toc 7"/>
    <w:basedOn w:val="946"/>
    <w:next w:val="946"/>
    <w:uiPriority w:val="39"/>
    <w:unhideWhenUsed/>
    <w:pPr>
      <w:ind w:left="1701" w:right="0" w:firstLine="0"/>
      <w:spacing w:after="57"/>
    </w:pPr>
  </w:style>
  <w:style w:type="paragraph" w:styleId="943">
    <w:name w:val="toc 8"/>
    <w:basedOn w:val="946"/>
    <w:next w:val="946"/>
    <w:uiPriority w:val="39"/>
    <w:unhideWhenUsed/>
    <w:pPr>
      <w:ind w:left="1984" w:right="0" w:firstLine="0"/>
      <w:spacing w:after="57"/>
    </w:pPr>
  </w:style>
  <w:style w:type="paragraph" w:styleId="944">
    <w:name w:val="toc 9"/>
    <w:basedOn w:val="946"/>
    <w:next w:val="946"/>
    <w:uiPriority w:val="39"/>
    <w:unhideWhenUsed/>
    <w:pPr>
      <w:ind w:left="2268" w:right="0" w:firstLine="0"/>
      <w:spacing w:after="57"/>
    </w:pPr>
  </w:style>
  <w:style w:type="paragraph" w:styleId="945">
    <w:name w:val="TOC Heading"/>
    <w:uiPriority w:val="39"/>
    <w:unhideWhenUsed/>
  </w:style>
  <w:style w:type="paragraph" w:styleId="94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47">
    <w:name w:val="Heading 1"/>
    <w:basedOn w:val="946"/>
    <w:link w:val="965"/>
    <w:uiPriority w:val="1"/>
    <w:qFormat/>
    <w:pPr>
      <w:ind w:left="357"/>
      <w:spacing w:before="85" w:after="0" w:line="240" w:lineRule="auto"/>
      <w:widowControl w:val="off"/>
      <w:outlineLvl w:val="0"/>
    </w:pPr>
    <w:rPr>
      <w:rFonts w:ascii="Times New Roman" w:hAnsi="Times New Roman" w:eastAsia="Times New Roman"/>
      <w:sz w:val="36"/>
      <w:szCs w:val="36"/>
      <w:lang w:bidi="ru-RU"/>
    </w:rPr>
  </w:style>
  <w:style w:type="paragraph" w:styleId="948">
    <w:name w:val="Heading 2"/>
    <w:basedOn w:val="946"/>
    <w:link w:val="971"/>
    <w:uiPriority w:val="1"/>
    <w:qFormat/>
    <w:pPr>
      <w:ind w:right="461"/>
      <w:jc w:val="center"/>
      <w:spacing w:before="89" w:after="0" w:line="240" w:lineRule="auto"/>
      <w:widowControl w:val="off"/>
      <w:outlineLvl w:val="1"/>
    </w:pPr>
    <w:rPr>
      <w:rFonts w:ascii="Times New Roman" w:hAnsi="Times New Roman" w:eastAsia="Times New Roman"/>
      <w:b/>
      <w:bCs/>
      <w:sz w:val="28"/>
      <w:szCs w:val="28"/>
      <w:lang w:bidi="ru-RU"/>
    </w:rPr>
  </w:style>
  <w:style w:type="paragraph" w:styleId="949">
    <w:name w:val="Heading 3"/>
    <w:basedOn w:val="946"/>
    <w:link w:val="966"/>
    <w:uiPriority w:val="1"/>
    <w:qFormat/>
    <w:pPr>
      <w:ind w:left="533" w:firstLine="708"/>
      <w:spacing w:after="0" w:line="240" w:lineRule="auto"/>
      <w:widowControl w:val="off"/>
      <w:outlineLvl w:val="2"/>
    </w:pPr>
    <w:rPr>
      <w:rFonts w:ascii="Times New Roman" w:hAnsi="Times New Roman" w:eastAsia="Times New Roman"/>
      <w:b/>
      <w:bCs/>
      <w:sz w:val="26"/>
      <w:szCs w:val="26"/>
      <w:lang w:bidi="ru-RU"/>
    </w:rPr>
  </w:style>
  <w:style w:type="paragraph" w:styleId="950">
    <w:name w:val="Heading 4"/>
    <w:basedOn w:val="946"/>
    <w:link w:val="972"/>
    <w:uiPriority w:val="1"/>
    <w:qFormat/>
    <w:pPr>
      <w:ind w:left="533" w:firstLine="708"/>
      <w:jc w:val="both"/>
      <w:spacing w:before="88" w:after="0" w:line="240" w:lineRule="auto"/>
      <w:widowControl w:val="off"/>
      <w:outlineLvl w:val="3"/>
    </w:pPr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6"/>
    <w:link w:val="95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55" w:customStyle="1">
    <w:name w:val="Текст выноски Знак"/>
    <w:link w:val="954"/>
    <w:uiPriority w:val="99"/>
    <w:semiHidden/>
    <w:rPr>
      <w:rFonts w:ascii="Tahoma" w:hAnsi="Tahoma" w:cs="Tahoma"/>
      <w:sz w:val="16"/>
      <w:szCs w:val="16"/>
    </w:rPr>
  </w:style>
  <w:style w:type="character" w:styleId="956">
    <w:name w:val="Hyperlink"/>
    <w:uiPriority w:val="99"/>
    <w:unhideWhenUsed/>
    <w:rPr>
      <w:color w:val="0000ff"/>
      <w:u w:val="single"/>
    </w:rPr>
  </w:style>
  <w:style w:type="paragraph" w:styleId="957" w:customStyle="1">
    <w:name w:val="ConsPlusNormal"/>
    <w:pPr>
      <w:widowControl w:val="off"/>
    </w:pPr>
    <w:rPr>
      <w:rFonts w:ascii="Times New Roman" w:hAnsi="Times New Roman" w:eastAsia="Times New Roman"/>
      <w:sz w:val="28"/>
    </w:rPr>
  </w:style>
  <w:style w:type="paragraph" w:styleId="958" w:customStyle="1">
    <w:name w:val="ConsPlusTitle"/>
    <w:pPr>
      <w:widowControl w:val="off"/>
    </w:pPr>
    <w:rPr>
      <w:rFonts w:ascii="Times New Roman" w:hAnsi="Times New Roman" w:eastAsia="Times New Roman"/>
      <w:b/>
      <w:sz w:val="28"/>
    </w:rPr>
  </w:style>
  <w:style w:type="paragraph" w:styleId="959" w:customStyle="1">
    <w:name w:val="Цветной список - Акцент 11"/>
    <w:basedOn w:val="946"/>
    <w:uiPriority w:val="34"/>
    <w:qFormat/>
    <w:pPr>
      <w:contextualSpacing/>
      <w:ind w:left="720"/>
    </w:pPr>
  </w:style>
  <w:style w:type="paragraph" w:styleId="960">
    <w:name w:val="Header"/>
    <w:basedOn w:val="946"/>
    <w:link w:val="9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1" w:customStyle="1">
    <w:name w:val="Верхний колонтитул Знак"/>
    <w:basedOn w:val="951"/>
    <w:link w:val="960"/>
    <w:uiPriority w:val="99"/>
  </w:style>
  <w:style w:type="paragraph" w:styleId="962">
    <w:name w:val="Footer"/>
    <w:basedOn w:val="946"/>
    <w:link w:val="9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3" w:customStyle="1">
    <w:name w:val="Нижний колонтитул Знак"/>
    <w:basedOn w:val="951"/>
    <w:link w:val="962"/>
    <w:uiPriority w:val="99"/>
  </w:style>
  <w:style w:type="table" w:styleId="964">
    <w:name w:val="Table Grid"/>
    <w:basedOn w:val="95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5" w:customStyle="1">
    <w:name w:val="Заголовок 1 Знак"/>
    <w:link w:val="947"/>
    <w:uiPriority w:val="1"/>
    <w:rPr>
      <w:rFonts w:ascii="Times New Roman" w:hAnsi="Times New Roman" w:eastAsia="Times New Roman"/>
      <w:sz w:val="36"/>
      <w:szCs w:val="36"/>
      <w:lang w:bidi="ru-RU"/>
    </w:rPr>
  </w:style>
  <w:style w:type="character" w:styleId="966" w:customStyle="1">
    <w:name w:val="Заголовок 3 Знак"/>
    <w:link w:val="949"/>
    <w:uiPriority w:val="1"/>
    <w:rPr>
      <w:rFonts w:ascii="Times New Roman" w:hAnsi="Times New Roman" w:eastAsia="Times New Roman"/>
      <w:b/>
      <w:bCs/>
      <w:sz w:val="26"/>
      <w:szCs w:val="26"/>
      <w:lang w:bidi="ru-RU"/>
    </w:rPr>
  </w:style>
  <w:style w:type="table" w:styleId="967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8">
    <w:name w:val="Body Text"/>
    <w:basedOn w:val="946"/>
    <w:link w:val="969"/>
    <w:uiPriority w:val="1"/>
    <w:qFormat/>
    <w:pPr>
      <w:ind w:left="533" w:firstLine="708"/>
      <w:jc w:val="both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  <w:lang w:bidi="ru-RU"/>
    </w:rPr>
  </w:style>
  <w:style w:type="character" w:styleId="969" w:customStyle="1">
    <w:name w:val="Основной текст Знак"/>
    <w:link w:val="968"/>
    <w:uiPriority w:val="1"/>
    <w:rPr>
      <w:rFonts w:ascii="Times New Roman" w:hAnsi="Times New Roman" w:eastAsia="Times New Roman"/>
      <w:sz w:val="26"/>
      <w:szCs w:val="26"/>
      <w:lang w:bidi="ru-RU"/>
    </w:rPr>
  </w:style>
  <w:style w:type="paragraph" w:styleId="970" w:customStyle="1">
    <w:name w:val="Table Paragraph"/>
    <w:basedOn w:val="94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/>
      <w:lang w:eastAsia="ru-RU" w:bidi="ru-RU"/>
    </w:rPr>
  </w:style>
  <w:style w:type="character" w:styleId="971" w:customStyle="1">
    <w:name w:val="Заголовок 2 Знак"/>
    <w:link w:val="948"/>
    <w:uiPriority w:val="1"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972" w:customStyle="1">
    <w:name w:val="Заголовок 4 Знак"/>
    <w:link w:val="950"/>
    <w:uiPriority w:val="1"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73">
    <w:name w:val="annotation reference"/>
    <w:uiPriority w:val="99"/>
    <w:semiHidden/>
    <w:unhideWhenUsed/>
    <w:rPr>
      <w:sz w:val="16"/>
      <w:szCs w:val="16"/>
    </w:rPr>
  </w:style>
  <w:style w:type="paragraph" w:styleId="974">
    <w:name w:val="annotation text"/>
    <w:basedOn w:val="946"/>
    <w:link w:val="975"/>
    <w:uiPriority w:val="99"/>
    <w:semiHidden/>
    <w:unhideWhenUsed/>
    <w:rPr>
      <w:sz w:val="20"/>
      <w:szCs w:val="20"/>
    </w:rPr>
  </w:style>
  <w:style w:type="character" w:styleId="975" w:customStyle="1">
    <w:name w:val="Текст примечания Знак"/>
    <w:link w:val="974"/>
    <w:uiPriority w:val="99"/>
    <w:semiHidden/>
    <w:rPr>
      <w:lang w:eastAsia="en-US"/>
    </w:rPr>
  </w:style>
  <w:style w:type="paragraph" w:styleId="976">
    <w:name w:val="annotation subject"/>
    <w:basedOn w:val="974"/>
    <w:next w:val="974"/>
    <w:link w:val="977"/>
    <w:uiPriority w:val="99"/>
    <w:semiHidden/>
    <w:unhideWhenUsed/>
    <w:rPr>
      <w:b/>
      <w:bCs/>
    </w:rPr>
  </w:style>
  <w:style w:type="character" w:styleId="977" w:customStyle="1">
    <w:name w:val="Тема примечания Знак"/>
    <w:link w:val="976"/>
    <w:uiPriority w:val="99"/>
    <w:semiHidden/>
    <w:rPr>
      <w:b/>
      <w:bCs/>
      <w:lang w:eastAsia="en-US"/>
    </w:rPr>
  </w:style>
  <w:style w:type="paragraph" w:styleId="978">
    <w:name w:val="HTML Preformatted"/>
    <w:basedOn w:val="946"/>
    <w:link w:val="979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character" w:styleId="979" w:customStyle="1">
    <w:name w:val="Стандартный HTML Знак"/>
    <w:link w:val="978"/>
    <w:uiPriority w:val="99"/>
    <w:rPr>
      <w:rFonts w:ascii="Courier New" w:hAnsi="Courier New" w:eastAsia="Times New Roman" w:cs="Courier New"/>
    </w:rPr>
  </w:style>
  <w:style w:type="character" w:styleId="980">
    <w:name w:val="Strong"/>
    <w:uiPriority w:val="22"/>
    <w:qFormat/>
    <w:rPr>
      <w:b/>
      <w:bCs/>
    </w:rPr>
  </w:style>
  <w:style w:type="paragraph" w:styleId="981">
    <w:name w:val="List Paragraph"/>
    <w:basedOn w:val="946"/>
    <w:uiPriority w:val="34"/>
    <w:qFormat/>
    <w:pPr>
      <w:contextualSpacing/>
      <w:ind w:left="720"/>
    </w:pPr>
  </w:style>
  <w:style w:type="paragraph" w:styleId="982">
    <w:name w:val="Caption"/>
    <w:basedOn w:val="946"/>
    <w:next w:val="946"/>
    <w:link w:val="804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983" w:customStyle="1">
    <w:name w:val="Font Style1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wmf"/><Relationship Id="rId17" Type="http://schemas.openxmlformats.org/officeDocument/2006/relationships/image" Target="media/media1.svg"/><Relationship Id="rId18" Type="http://schemas.openxmlformats.org/officeDocument/2006/relationships/image" Target="media/image2.wmf"/><Relationship Id="rId19" Type="http://schemas.openxmlformats.org/officeDocument/2006/relationships/image" Target="media/media2.svg"/><Relationship Id="rId20" Type="http://schemas.openxmlformats.org/officeDocument/2006/relationships/image" Target="media/image3.wmf"/><Relationship Id="rId21" Type="http://schemas.openxmlformats.org/officeDocument/2006/relationships/image" Target="media/media3.svg"/><Relationship Id="rId22" Type="http://schemas.openxmlformats.org/officeDocument/2006/relationships/image" Target="media/image4.wmf"/><Relationship Id="rId23" Type="http://schemas.openxmlformats.org/officeDocument/2006/relationships/image" Target="media/media4.svg"/><Relationship Id="rId24" Type="http://schemas.openxmlformats.org/officeDocument/2006/relationships/image" Target="media/image5.wmf"/><Relationship Id="rId25" Type="http://schemas.openxmlformats.org/officeDocument/2006/relationships/image" Target="media/media5.svg"/><Relationship Id="rId26" Type="http://schemas.openxmlformats.org/officeDocument/2006/relationships/image" Target="media/image6.wmf"/><Relationship Id="rId27" Type="http://schemas.openxmlformats.org/officeDocument/2006/relationships/image" Target="media/media6.svg"/><Relationship Id="rId28" Type="http://schemas.openxmlformats.org/officeDocument/2006/relationships/image" Target="media/image7.wmf"/><Relationship Id="rId29" Type="http://schemas.openxmlformats.org/officeDocument/2006/relationships/image" Target="media/media7.svg"/><Relationship Id="rId30" Type="http://schemas.openxmlformats.org/officeDocument/2006/relationships/image" Target="media/image8.wmf"/><Relationship Id="rId31" Type="http://schemas.openxmlformats.org/officeDocument/2006/relationships/image" Target="media/media8.svg"/><Relationship Id="rId32" Type="http://schemas.openxmlformats.org/officeDocument/2006/relationships/image" Target="media/image9.wmf"/><Relationship Id="rId33" Type="http://schemas.openxmlformats.org/officeDocument/2006/relationships/image" Target="media/media9.svg"/><Relationship Id="rId34" Type="http://schemas.openxmlformats.org/officeDocument/2006/relationships/image" Target="media/image10.wmf"/><Relationship Id="rId35" Type="http://schemas.openxmlformats.org/officeDocument/2006/relationships/image" Target="media/media10.svg"/><Relationship Id="rId36" Type="http://schemas.openxmlformats.org/officeDocument/2006/relationships/image" Target="media/image11.wmf"/><Relationship Id="rId37" Type="http://schemas.openxmlformats.org/officeDocument/2006/relationships/image" Target="media/media11.svg"/><Relationship Id="rId38" Type="http://schemas.openxmlformats.org/officeDocument/2006/relationships/image" Target="media/image12.wmf"/><Relationship Id="rId39" Type="http://schemas.openxmlformats.org/officeDocument/2006/relationships/image" Target="media/media12.svg"/><Relationship Id="rId40" Type="http://schemas.openxmlformats.org/officeDocument/2006/relationships/image" Target="media/image13.wmf"/><Relationship Id="rId41" Type="http://schemas.openxmlformats.org/officeDocument/2006/relationships/image" Target="media/media13.svg"/><Relationship Id="rId42" Type="http://schemas.openxmlformats.org/officeDocument/2006/relationships/image" Target="media/image14.wmf"/><Relationship Id="rId43" Type="http://schemas.openxmlformats.org/officeDocument/2006/relationships/image" Target="media/media14.svg"/><Relationship Id="rId44" Type="http://schemas.openxmlformats.org/officeDocument/2006/relationships/image" Target="media/image15.wmf"/><Relationship Id="rId45" Type="http://schemas.openxmlformats.org/officeDocument/2006/relationships/image" Target="media/media15.svg"/><Relationship Id="rId46" Type="http://schemas.openxmlformats.org/officeDocument/2006/relationships/image" Target="media/image16.wmf"/><Relationship Id="rId47" Type="http://schemas.openxmlformats.org/officeDocument/2006/relationships/image" Target="media/media16.svg"/><Relationship Id="rId48" Type="http://schemas.openxmlformats.org/officeDocument/2006/relationships/image" Target="media/image17.wmf"/><Relationship Id="rId49" Type="http://schemas.openxmlformats.org/officeDocument/2006/relationships/image" Target="media/media17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myasinam</cp:lastModifiedBy>
  <cp:revision>13</cp:revision>
  <dcterms:created xsi:type="dcterms:W3CDTF">2024-09-12T05:41:00Z</dcterms:created>
  <dcterms:modified xsi:type="dcterms:W3CDTF">2025-10-21T08:41:33Z</dcterms:modified>
</cp:coreProperties>
</file>