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Обобщение правоприменительной практики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 итогам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осуществления муниципального земельного контроля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на территории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г.о. Серебряные Пруды Московской области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i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Типичные нарушения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2023 году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8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земельный контроль на территории городского округа Серебряные Пруды Московской области осуществляется в соответствии с положениями Земельного кодекса Российской Федерации, Федерального закона от 31.07.2020 № 248-ФЗ «О государственном контро</w:t>
      </w:r>
      <w:r>
        <w:rPr>
          <w:rFonts w:ascii="Times New Roman" w:hAnsi="Times New Roman" w:cs="Times New Roman"/>
          <w:sz w:val="28"/>
          <w:szCs w:val="28"/>
        </w:rPr>
        <w:t xml:space="preserve">ле (надзоре) и муниципальном контроле в Российской Федерации», Федерального закона от 06.10.2003 № 131-ФЗ  «Об общих принципах организации местного самоуправлен</w:t>
      </w:r>
      <w:r>
        <w:rPr>
          <w:rFonts w:ascii="Times New Roman" w:hAnsi="Times New Roman" w:cs="Times New Roman"/>
          <w:sz w:val="28"/>
          <w:szCs w:val="28"/>
        </w:rPr>
        <w:t xml:space="preserve">ия в Российской Федерации»,  Положения о муниципальном земельном контроле на территории городского округа Серебряные Пруды Московской области, утвержденного решением Совета депутатов городского округа Серебряные Пруды от 16.09.2021 № 651/81 (с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Обобщение и анализ правоприменительной практики осуществления муниципального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земельного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контроля подготовлен с целью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единообразных подходов к применению органом муниципального земельного контроля обязательных требований, законодательства Российской Федерации о муниципальном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выявления типичных н</w:t>
      </w:r>
      <w:r>
        <w:rPr>
          <w:rFonts w:ascii="Times New Roman" w:hAnsi="Times New Roman" w:cs="Times New Roman"/>
          <w:sz w:val="28"/>
          <w:szCs w:val="28"/>
        </w:rPr>
        <w:t xml:space="preserve">арушений обязательных требований, причин, факторов и условий, способствующих возникновению указанных нарушений; </w:t>
      </w:r>
      <w:r>
        <w:rPr>
          <w:rFonts w:ascii="Times New Roman" w:hAnsi="Times New Roman" w:cs="Times New Roman"/>
          <w:sz w:val="28"/>
          <w:szCs w:val="28"/>
        </w:rPr>
        <w:t xml:space="preserve">анализа случаев причинения вреда (ущерба) охраняемым законом ценностям, выявление источников и факторов риска причинения вреда (ущерба);</w:t>
      </w:r>
      <w:r>
        <w:rPr>
          <w:rFonts w:ascii="Times New Roman" w:hAnsi="Times New Roman" w:cs="Times New Roman"/>
          <w:sz w:val="28"/>
          <w:szCs w:val="28"/>
        </w:rPr>
        <w:t xml:space="preserve"> подготовки предложений об актуализации обязательных требований.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РФ от 10.03.2022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336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cs="Times New Roman"/>
          <w:sz w:val="28"/>
          <w:szCs w:val="28"/>
        </w:rPr>
        <w:t xml:space="preserve">Об особенностях организации и осуществления государственного контроля (на</w:t>
      </w:r>
      <w:r>
        <w:rPr>
          <w:rFonts w:ascii="Times New Roman" w:hAnsi="Times New Roman" w:cs="Times New Roman"/>
          <w:sz w:val="28"/>
          <w:szCs w:val="28"/>
        </w:rPr>
        <w:t xml:space="preserve">дзора), муниципального контроля» проведение контрольных меропри</w:t>
      </w:r>
      <w:r>
        <w:rPr>
          <w:rFonts w:ascii="Times New Roman" w:hAnsi="Times New Roman" w:cs="Times New Roman"/>
          <w:sz w:val="28"/>
          <w:szCs w:val="28"/>
        </w:rPr>
        <w:t xml:space="preserve">ятий в 2023 году было ограничено.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земельного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была направлена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профилактику нарушений юридическими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 xml:space="preserve"> и гражданами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требований, содействие укреплению законности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предупреждению правонарушений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2023 год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в рамках осуществления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ыли проведены следующие профилактические мероприятия: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numPr>
          <w:ilvl w:val="0"/>
          <w:numId w:val="3"/>
        </w:num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проведено выездное обследование 2055 земельных участков (в том числе 1934 с помощью мобильного приложения «Проверки Подмосковья»);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62"/>
        <w:numPr>
          <w:ilvl w:val="0"/>
          <w:numId w:val="3"/>
        </w:num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роведено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информир</w:t>
      </w:r>
      <w:r>
        <w:rPr>
          <w:rFonts w:ascii="Times New Roman" w:hAnsi="Times New Roman" w:cs="Times New Roman"/>
          <w:sz w:val="28"/>
          <w:szCs w:val="28"/>
        </w:rPr>
        <w:t xml:space="preserve">ований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контролируемых и иных заинтересованных лиц по вопросам соблюдения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662"/>
        <w:numPr>
          <w:ilvl w:val="0"/>
          <w:numId w:val="3"/>
        </w:num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объявлено 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 предостережения </w:t>
      </w:r>
      <w:r>
        <w:rPr>
          <w:rFonts w:ascii="Times New Roman" w:hAnsi="Times New Roman" w:cs="Times New Roman"/>
          <w:sz w:val="28"/>
          <w:szCs w:val="28"/>
        </w:rPr>
        <w:t xml:space="preserve">о недопустимости нарушения обязательных требований;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662"/>
        <w:numPr>
          <w:ilvl w:val="0"/>
          <w:numId w:val="3"/>
        </w:num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cs="Times New Roman"/>
          <w:sz w:val="28"/>
          <w:szCs w:val="28"/>
        </w:rPr>
        <w:t xml:space="preserve">38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консультирований контролируемых лиц.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firstLine="567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ходе проведения контрольных (надзорных) мероприятий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органом муниципального земельного контроля в 2023 году выявлено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77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нарушений законодательства, из которых:</w:t>
      </w:r>
      <w:r>
        <w:rPr>
          <w:rFonts w:ascii="Times New Roman" w:hAnsi="Times New Roman" w:eastAsia="Times New Roman"/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а)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неиспользование земель с/х назначения  – 35 нарушений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б) самовольное занятие земель нера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зграниченной государственной собственности – 17 нарушений;</w:t>
      </w:r>
      <w:r>
        <w:rPr>
          <w:rFonts w:ascii="Times New Roman" w:hAnsi="Times New Roman" w:eastAsia="Times New Roman"/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в)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произрастание борщевика Сосновского на земельных участках, находящихся в частной собственности –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25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нарушений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 выяв</w:t>
      </w:r>
      <w:r>
        <w:rPr>
          <w:rFonts w:ascii="Times New Roman" w:hAnsi="Times New Roman" w:cs="Times New Roman"/>
          <w:sz w:val="28"/>
          <w:szCs w:val="28"/>
        </w:rPr>
        <w:t xml:space="preserve">лены следующие часто встречающиеся</w:t>
      </w:r>
      <w:r>
        <w:rPr>
          <w:rFonts w:ascii="Times New Roman" w:hAnsi="Times New Roman" w:cs="Times New Roman"/>
          <w:sz w:val="28"/>
          <w:szCs w:val="28"/>
        </w:rPr>
        <w:t xml:space="preserve"> нарушения </w:t>
      </w:r>
      <w:r>
        <w:rPr>
          <w:rFonts w:ascii="Times New Roman" w:hAnsi="Times New Roman" w:cs="Times New Roman"/>
          <w:sz w:val="28"/>
          <w:szCs w:val="28"/>
        </w:rPr>
        <w:t xml:space="preserve">контролируемыми лицами </w:t>
      </w:r>
      <w:r>
        <w:rPr>
          <w:rFonts w:ascii="Times New Roman" w:hAnsi="Times New Roman" w:cs="Times New Roman"/>
          <w:sz w:val="28"/>
          <w:szCs w:val="28"/>
        </w:rPr>
        <w:t xml:space="preserve">обязательных тр</w:t>
      </w:r>
      <w:r>
        <w:rPr>
          <w:rFonts w:ascii="Times New Roman" w:hAnsi="Times New Roman" w:cs="Times New Roman"/>
          <w:sz w:val="28"/>
          <w:szCs w:val="28"/>
        </w:rPr>
        <w:t xml:space="preserve">ебований: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Неиспользование использование земельного участка по целевому назначению.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Статьёй 42 Земельного кодекса РФ установлены обязанности собственников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 и лиц, не являющихся собственниками земельных участков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объекту.  Пункт </w:t>
      </w:r>
      <w:r>
        <w:rPr>
          <w:rFonts w:ascii="Times New Roman" w:hAnsi="Times New Roman" w:cs="Times New Roman"/>
          <w:sz w:val="28"/>
          <w:szCs w:val="28"/>
        </w:rPr>
        <w:t xml:space="preserve">3  ст.</w:t>
      </w:r>
      <w:r>
        <w:rPr>
          <w:rFonts w:ascii="Times New Roman" w:hAnsi="Times New Roman" w:cs="Times New Roman"/>
          <w:sz w:val="28"/>
          <w:szCs w:val="28"/>
        </w:rPr>
        <w:t xml:space="preserve">13 Земельного кодекса РФ </w:t>
      </w:r>
      <w:r>
        <w:rPr>
          <w:rFonts w:ascii="Times New Roman" w:hAnsi="Times New Roman" w:cs="Times New Roman"/>
          <w:sz w:val="28"/>
          <w:szCs w:val="28"/>
        </w:rPr>
        <w:t xml:space="preserve">обязывает собственника, арендатора и др. пользователей проводить мероприятия по защите сельскохозяйственных угодий от зарастания деревьями и кустарниками, сорными растениями.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 В правоустанавливающих документах на землю, а также в ЕГРН, указывается </w:t>
      </w:r>
      <w:r>
        <w:rPr>
          <w:rFonts w:ascii="Times New Roman" w:hAnsi="Times New Roman" w:cs="Times New Roman"/>
          <w:sz w:val="28"/>
          <w:szCs w:val="28"/>
        </w:rPr>
        <w:t xml:space="preserve">правовой режим земельного участка – его целевое назначение и вид разрешенного использования.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таких нарушений необходимо удостовериться, что фактическое использование земельного участка соответствует правовому режиму земельного участка.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земельных отношений должны проводить деятельность, направленную на сохранение земли как важнейшего компонента окружающей среды и природного ресурса, сохранению почв и их плодородия, сохранять достигнутый уровень мелиорации.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за использование земельного участка не по целевому назначению и (или) не в соответствии с установленным разрешенным использованием установлена частью 1 статьи 8.8. </w:t>
      </w:r>
      <w:r>
        <w:rPr>
          <w:rFonts w:ascii="Times New Roman" w:hAnsi="Times New Roman" w:cs="Times New Roman"/>
          <w:sz w:val="28"/>
          <w:szCs w:val="28"/>
        </w:rPr>
        <w:t xml:space="preserve">Кодекса об административных правонарушений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Земельный участок может быть изъят у собственника, если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участка осуществляется с нарушением требований законодательства Российской Федерации, в частности, если участок используется не по целевому назначению, или его использование приводит к существенному снижению плодородия земель сельскохозяйственного </w:t>
      </w:r>
      <w:r>
        <w:rPr>
          <w:rFonts w:ascii="Times New Roman" w:hAnsi="Times New Roman" w:cs="Times New Roman"/>
          <w:sz w:val="28"/>
          <w:szCs w:val="28"/>
        </w:rPr>
        <w:t xml:space="preserve">назначения, либо причинению вреда окружающей среде, или на участке возведена или создана самовольная постройка и лицами, указанными в п. 2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ст. 222 Градостроительного Кодекса Российской Федерации, не выполнены предусмотренные законом обязанности по ее сносу или приведению в соответствие с установленными требованиями.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Самовольное занятие земельного участка неразграниченной государственной собственности или его части.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Изменение фактических границ земельных </w:t>
      </w:r>
      <w:r>
        <w:rPr>
          <w:rFonts w:ascii="Times New Roman" w:hAnsi="Times New Roman" w:cs="Times New Roman"/>
          <w:sz w:val="28"/>
          <w:szCs w:val="28"/>
        </w:rPr>
        <w:t xml:space="preserve">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</w:t>
      </w:r>
      <w:r>
        <w:rPr>
          <w:rFonts w:ascii="Times New Roman" w:hAnsi="Times New Roman" w:cs="Times New Roman"/>
          <w:sz w:val="28"/>
          <w:szCs w:val="28"/>
        </w:rPr>
        <w:t xml:space="preserve">которых увели</w:t>
      </w:r>
      <w:r>
        <w:rPr>
          <w:rFonts w:ascii="Times New Roman" w:hAnsi="Times New Roman" w:cs="Times New Roman"/>
          <w:sz w:val="28"/>
          <w:szCs w:val="28"/>
        </w:rPr>
        <w:t xml:space="preserve">чивается площадь земельного участка за счет самовольного занятия земель, </w:t>
      </w:r>
      <w:r>
        <w:rPr>
          <w:rFonts w:ascii="Times New Roman" w:hAnsi="Times New Roman" w:cs="Times New Roman"/>
          <w:sz w:val="28"/>
          <w:szCs w:val="28"/>
        </w:rPr>
        <w:t xml:space="preserve">совершенное граж</w:t>
      </w:r>
      <w:r>
        <w:rPr>
          <w:rFonts w:ascii="Times New Roman" w:hAnsi="Times New Roman" w:cs="Times New Roman"/>
          <w:sz w:val="28"/>
          <w:szCs w:val="28"/>
        </w:rPr>
        <w:t xml:space="preserve">данами, юридическими лицами, индивидуальными предпринимателями рассматривается как нарушение земельного законодательства, наносящее ущерб экономике, пользователям земельных участков (ст. 7.1 Кодекса об административных правонарушений Российской Федерации).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случае, если не проведена процедура межевания границ земельного</w:t>
      </w:r>
      <w:r>
        <w:rPr>
          <w:rFonts w:ascii="Times New Roman" w:hAnsi="Times New Roman" w:cs="Times New Roman"/>
          <w:sz w:val="28"/>
          <w:szCs w:val="28"/>
        </w:rPr>
        <w:t xml:space="preserve"> участка, не определено местоположение границ земельного участка, и площадь не уточнена, участок становится объектом спора с «соседними</w:t>
      </w:r>
      <w:r>
        <w:rPr>
          <w:rFonts w:ascii="Times New Roman" w:hAnsi="Times New Roman" w:cs="Times New Roman"/>
          <w:sz w:val="28"/>
          <w:szCs w:val="28"/>
        </w:rPr>
        <w:t xml:space="preserve">» хозяйствующими субъектами, возможен также самовольный захват земельного участка или его части, что впоследствии может привести к нарушению имущественных прав пользователя земельного участка, собственника земельного участка,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субъекта Российской Федерации.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Статьей 26 Земельного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РФ «Документы о правах на земельные участки» права на земельные участки, удостоверяются документами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 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прав на недвижимое имущество и сделок с ним»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недопущения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нарушений необходимо удостовериться, что границы используемого земельного участка соотве</w:t>
      </w:r>
      <w:r>
        <w:rPr>
          <w:rFonts w:ascii="Times New Roman" w:hAnsi="Times New Roman" w:cs="Times New Roman"/>
          <w:sz w:val="28"/>
          <w:szCs w:val="28"/>
        </w:rPr>
        <w:t xml:space="preserve">тствуют границам земельного участка, указанным в ЕГРН, не пересекают границ смежных земельных участков. Если в сведениях ЕГРН отсутствуют сведения о местоположении границ используемого земельного </w:t>
      </w:r>
      <w:r>
        <w:rPr>
          <w:rFonts w:ascii="Times New Roman" w:hAnsi="Times New Roman" w:cs="Times New Roman"/>
          <w:sz w:val="28"/>
          <w:szCs w:val="28"/>
        </w:rPr>
        <w:t xml:space="preserve">участка, необходимо </w:t>
      </w:r>
      <w:r>
        <w:rPr>
          <w:rFonts w:ascii="Times New Roman" w:hAnsi="Times New Roman" w:cs="Times New Roman"/>
          <w:sz w:val="28"/>
          <w:szCs w:val="28"/>
        </w:rPr>
        <w:t xml:space="preserve">обратиться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инженеру за проведением работ</w:t>
      </w:r>
      <w:r>
        <w:rPr>
          <w:rFonts w:ascii="Times New Roman" w:hAnsi="Times New Roman" w:cs="Times New Roman"/>
          <w:sz w:val="28"/>
          <w:szCs w:val="28"/>
        </w:rPr>
        <w:t xml:space="preserve"> по определению местоположения границ земельного участка.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Произрастание борщевика Сосновского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непроведение мероприятий по его удалени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/>
      <w:r>
        <w:rPr>
          <w:color w:val="auto"/>
        </w:rPr>
      </w:r>
      <w:r>
        <w:rPr>
          <w:color w:val="auto"/>
        </w:rPr>
      </w:r>
      <w:r/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Борщевик Сосновского представляет серьезную угрозу причинения вреда жизни и здоровью граждан, вреда животным. В соответствии со ст. 40.1 Закона Московской области от 30.12.2014 </w:t>
      </w:r>
      <w:r>
        <w:rPr>
          <w:rFonts w:ascii="Times New Roman" w:hAnsi="Times New Roman" w:cs="Times New Roman"/>
          <w:sz w:val="28"/>
          <w:szCs w:val="28"/>
        </w:rPr>
        <w:br/>
        <w:t xml:space="preserve">№ 191/2014-ОЗ «О регулировании дополнительных вопросов в сфере благоустройст</w:t>
      </w:r>
      <w:r>
        <w:rPr>
          <w:rFonts w:ascii="Times New Roman" w:hAnsi="Times New Roman" w:cs="Times New Roman"/>
          <w:sz w:val="28"/>
          <w:szCs w:val="28"/>
        </w:rPr>
        <w:t xml:space="preserve">ва в Московской области» (с изменениями от 28.11.2022г.) закреплена обязанность за правообладателями земельных участков проводить мероприятия по удалению борщевика Сосновского с земельных участков, находящихся в их собственности, владении или пользовании.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Кроме того, наличие на земельных участках очагов произрастания борщевика Сосновского, свидетельствующих о неиспользовании земель, может стать основанием для перерасчета налоговой ставки на земельные участки с 0,3 до 1,5 процентов.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42 Земельного кодекса РФ </w:t>
      </w:r>
      <w:r>
        <w:rPr>
          <w:rFonts w:ascii="Times New Roman" w:hAnsi="Times New Roman" w:cs="Times New Roman"/>
          <w:sz w:val="28"/>
          <w:szCs w:val="28"/>
        </w:rPr>
        <w:t xml:space="preserve">собственники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и лица, </w:t>
      </w:r>
      <w:r>
        <w:rPr>
          <w:rFonts w:ascii="Times New Roman" w:hAnsi="Times New Roman" w:cs="Times New Roman"/>
          <w:sz w:val="28"/>
          <w:szCs w:val="28"/>
        </w:rPr>
        <w:t xml:space="preserve">не являющиеся собственниками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обязаны: использовать земельные участки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их целевым назначением способами, которыми не должны наносить вред окружающей среде,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земле как природному объекту, своевременно приступать к использованию земельных участков;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существлять мероприятия по охране земель</w:t>
      </w:r>
      <w:r>
        <w:rPr>
          <w:rFonts w:ascii="Times New Roman" w:hAnsi="Times New Roman" w:cs="Times New Roman"/>
          <w:sz w:val="28"/>
          <w:szCs w:val="28"/>
        </w:rPr>
        <w:t xml:space="preserve">, лесов</w:t>
      </w:r>
      <w:r>
        <w:rPr>
          <w:rFonts w:ascii="Times New Roman" w:hAnsi="Times New Roman" w:cs="Times New Roman"/>
          <w:sz w:val="28"/>
          <w:szCs w:val="28"/>
        </w:rPr>
        <w:t xml:space="preserve">, водных объектов и других природных ресурсов,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меры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требований ст. 42 ЗК РФ, влечет к административной ответственности, предусмотренной статьей 8.8. </w:t>
      </w:r>
      <w:r>
        <w:rPr>
          <w:rFonts w:ascii="Times New Roman" w:hAnsi="Times New Roman" w:cs="Times New Roman"/>
          <w:sz w:val="28"/>
          <w:szCs w:val="28"/>
        </w:rPr>
        <w:t xml:space="preserve">Кодекса об административных правонарушений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еречня типичных нарушений обязательных требований, проведенный на основании обобщения правоприменительной практики контрольно-надзорной деятельности в 2023 году: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662"/>
        <w:numPr>
          <w:ilvl w:val="0"/>
          <w:numId w:val="7"/>
        </w:num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45,4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нарушений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неиспользованием земель с/х назначения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662"/>
        <w:numPr>
          <w:ilvl w:val="0"/>
          <w:numId w:val="6"/>
        </w:num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22,1 % -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самовольное занятие земель нера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зграниченной государственной собственности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62"/>
        <w:numPr>
          <w:ilvl w:val="0"/>
          <w:numId w:val="6"/>
        </w:num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32,5 %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произрастание борщевика Сосновского на земельных участках, находящихся в частной собственности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.</w:t>
      </w:r>
      <w:r/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Основными причинами нарушений является несоблюдение  обязательных требований,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 </w:t>
      </w:r>
      <w:r>
        <w:rPr>
          <w:rFonts w:ascii="Times New Roman" w:hAnsi="Times New Roman" w:cs="Times New Roman"/>
          <w:sz w:val="28"/>
          <w:szCs w:val="28"/>
        </w:rPr>
        <w:t xml:space="preserve">игнорирование уведомлений и предостережений о недопущении нарушений, выданных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правообладателям земельных участков.</w:t>
      </w:r>
      <w:r/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 целью снижения количества нарушений обязательных требований, увеличения количества устраненных нарушений, выявленных в результате проведения профилактических мероприятий, планируется увеличить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информационного материала на тему муниципального земельного контроля, размещаемого в СМИ (местная газета, сайт администрации) и официальных в аккаунтах администрации г.о. Серебряные Пруды в социальных сетях.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2"/>
    <w:next w:val="822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basedOn w:val="823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2"/>
    <w:next w:val="822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basedOn w:val="823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2"/>
    <w:next w:val="822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basedOn w:val="823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2"/>
    <w:next w:val="822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basedOn w:val="823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2"/>
    <w:next w:val="822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basedOn w:val="823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2"/>
    <w:next w:val="822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basedOn w:val="823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2"/>
    <w:next w:val="822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basedOn w:val="823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2"/>
    <w:next w:val="822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basedOn w:val="823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2"/>
    <w:next w:val="822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basedOn w:val="823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List Paragraph"/>
    <w:basedOn w:val="822"/>
    <w:uiPriority w:val="34"/>
    <w:qFormat/>
    <w:pPr>
      <w:contextualSpacing/>
      <w:ind w:left="720"/>
    </w:pPr>
  </w:style>
  <w:style w:type="paragraph" w:styleId="663">
    <w:name w:val="No Spacing"/>
    <w:uiPriority w:val="1"/>
    <w:qFormat/>
    <w:pPr>
      <w:spacing w:before="0" w:after="0" w:line="240" w:lineRule="auto"/>
    </w:pPr>
  </w:style>
  <w:style w:type="paragraph" w:styleId="664">
    <w:name w:val="Title"/>
    <w:basedOn w:val="822"/>
    <w:next w:val="822"/>
    <w:link w:val="6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5">
    <w:name w:val="Title Char"/>
    <w:basedOn w:val="823"/>
    <w:link w:val="664"/>
    <w:uiPriority w:val="10"/>
    <w:rPr>
      <w:sz w:val="48"/>
      <w:szCs w:val="48"/>
    </w:rPr>
  </w:style>
  <w:style w:type="paragraph" w:styleId="666">
    <w:name w:val="Subtitle"/>
    <w:basedOn w:val="822"/>
    <w:next w:val="822"/>
    <w:link w:val="667"/>
    <w:uiPriority w:val="11"/>
    <w:qFormat/>
    <w:pPr>
      <w:spacing w:before="200" w:after="200"/>
    </w:pPr>
    <w:rPr>
      <w:sz w:val="24"/>
      <w:szCs w:val="24"/>
    </w:rPr>
  </w:style>
  <w:style w:type="character" w:styleId="667">
    <w:name w:val="Subtitle Char"/>
    <w:basedOn w:val="823"/>
    <w:link w:val="666"/>
    <w:uiPriority w:val="11"/>
    <w:rPr>
      <w:sz w:val="24"/>
      <w:szCs w:val="24"/>
    </w:rPr>
  </w:style>
  <w:style w:type="paragraph" w:styleId="668">
    <w:name w:val="Quote"/>
    <w:basedOn w:val="822"/>
    <w:next w:val="822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2"/>
    <w:next w:val="822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2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basedOn w:val="823"/>
    <w:link w:val="672"/>
    <w:uiPriority w:val="99"/>
  </w:style>
  <w:style w:type="paragraph" w:styleId="674">
    <w:name w:val="Footer"/>
    <w:basedOn w:val="822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basedOn w:val="823"/>
    <w:link w:val="674"/>
    <w:uiPriority w:val="99"/>
  </w:style>
  <w:style w:type="paragraph" w:styleId="676">
    <w:name w:val="Caption"/>
    <w:basedOn w:val="822"/>
    <w:next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basedOn w:val="8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8">
    <w:name w:val="List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9">
    <w:name w:val="List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0">
    <w:name w:val="List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1">
    <w:name w:val="List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2">
    <w:name w:val="List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3">
    <w:name w:val="Lined - Accent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Lined - Accent 2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Lined - Accent 3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Lined - Accent 4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Lined - Accent 5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Lined - Accent 6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 &amp; Lined - Accent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Bordered &amp; Lined - Accent 2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Bordered &amp; Lined - Accent 3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Bordered &amp; Lined - Accent 4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Bordered &amp; Lined - Accent 5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Bordered &amp; Lined - Accent 6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23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23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qFormat/>
  </w:style>
  <w:style w:type="character" w:styleId="823" w:default="1">
    <w:name w:val="Default Paragraph Font"/>
    <w:uiPriority w:val="1"/>
    <w:semiHidden/>
    <w:unhideWhenUsed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paragraph" w:styleId="826" w:customStyle="1">
    <w:name w:val="Normal (Web)"/>
    <w:basedOn w:val="822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9</cp:revision>
  <dcterms:created xsi:type="dcterms:W3CDTF">2022-08-29T08:19:00Z</dcterms:created>
  <dcterms:modified xsi:type="dcterms:W3CDTF">2023-09-25T13:59:59Z</dcterms:modified>
</cp:coreProperties>
</file>