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125" w:rsidRPr="00612125" w:rsidRDefault="00612125" w:rsidP="0061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12125">
        <w:rPr>
          <w:rFonts w:ascii="Times New Roman" w:hAnsi="Times New Roman" w:cs="Times New Roman"/>
          <w:b/>
          <w:sz w:val="28"/>
          <w:szCs w:val="28"/>
        </w:rPr>
        <w:t>головн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612125">
        <w:rPr>
          <w:rFonts w:ascii="Times New Roman" w:hAnsi="Times New Roman" w:cs="Times New Roman"/>
          <w:b/>
          <w:sz w:val="28"/>
          <w:szCs w:val="28"/>
        </w:rPr>
        <w:t xml:space="preserve"> ответственность за преступления, совершенные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612125">
        <w:rPr>
          <w:rFonts w:ascii="Times New Roman" w:hAnsi="Times New Roman" w:cs="Times New Roman"/>
          <w:b/>
          <w:sz w:val="28"/>
          <w:szCs w:val="28"/>
        </w:rPr>
        <w:t>в сфере жилищно-коммунального хозяйства.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Сфера жилищно-коммунального хозяйства затрагивает интересы каждого гражданина Российской Федерации на любом этапе его жизни.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Жилищно-коммунальное хозяйство (далее – ЖКХ) представляет особый комплекс отраслей экономики, создающий удобства и комфортабельность проживания гражданам, в том числе в предоставлении широкого спектра услуг.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В данной сфере совершается множество различных преступлений. Анализ сложившейся практики показал, что правоохранительными органами области регистрируются такие преступления, как превышение должностных полномочий (статья 286 Уголовного кодекса Российской Федерации (далее -УК РФ), мошенничество, совершенное в крупном размере или при получении выплат на функционирование работы жилищно-коммунального комплекса (статьи 159 УК РФ, 159.2 УК РФ).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Кроме того, исходя из особенностей отношений, возникающих между хозяйствующими субъектами и органами власти, совершаемые преступления в сфере ЖКХ можно условно разделить на следующие группы: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- преступления, связанные с невыполнением и (или) некачественным выполнением работ, проводимых при реформировании жилищно-коммунального хозяйства;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- преступления, связанные с неправомерным использованием управляющими компаниями, товариществами собственников жилья (Далее – ТСЖ) денежных средств, полученных от потребителей в качестве оплаты жилищно-коммунальных услуг;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 xml:space="preserve">- преступления, сопряженные с невыплатой управляющими компаниями, ТСЖ задолженности </w:t>
      </w:r>
      <w:proofErr w:type="spellStart"/>
      <w:r w:rsidRPr="00612125">
        <w:rPr>
          <w:rFonts w:ascii="Times New Roman" w:hAnsi="Times New Roman" w:cs="Times New Roman"/>
          <w:sz w:val="28"/>
          <w:szCs w:val="28"/>
        </w:rPr>
        <w:t>ресурсноснабжающим</w:t>
      </w:r>
      <w:proofErr w:type="spellEnd"/>
      <w:r w:rsidRPr="00612125">
        <w:rPr>
          <w:rFonts w:ascii="Times New Roman" w:hAnsi="Times New Roman" w:cs="Times New Roman"/>
          <w:sz w:val="28"/>
          <w:szCs w:val="28"/>
        </w:rPr>
        <w:t xml:space="preserve"> организациям;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- преступления, связанные с незаконной передачей лицу, выполняющему управленческие функции в коммерческой или иной организации, денег, имущества за совершение действий в интересах дающего или иных лиц, если указанные действия входят в служебные полномочия такого лиц (статья 204 УК РФ – коммерческий подкуп).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Большинство преступлений, совершаемых в сфере указанных отношений, квалифицируются по статье 159 УК РФ (мошенничество). В соответствии с действующим законодательством данную категорию преступлений расследуют органы внутренних дел.</w:t>
      </w:r>
    </w:p>
    <w:p w:rsidR="00612125" w:rsidRP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4DD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25">
        <w:rPr>
          <w:rFonts w:ascii="Times New Roman" w:hAnsi="Times New Roman" w:cs="Times New Roman"/>
          <w:sz w:val="28"/>
          <w:szCs w:val="28"/>
        </w:rPr>
        <w:t>Разъясняем, что преступления, предусмотренные статьями 159, 204, 286 УК РФ относятся к категории тяжких преступлений, за совершение которых предусмотрена уголовная ответственность от штрафа до лишения свободы на срок до десяти лет.</w:t>
      </w:r>
    </w:p>
    <w:p w:rsidR="00612125" w:rsidRDefault="00612125" w:rsidP="0061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125" w:rsidRPr="00612125" w:rsidRDefault="00612125" w:rsidP="0061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Мовля М.А.</w:t>
      </w:r>
    </w:p>
    <w:sectPr w:rsidR="00612125" w:rsidRPr="0061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5"/>
    <w:rsid w:val="002F14DD"/>
    <w:rsid w:val="006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C292"/>
  <w15:chartTrackingRefBased/>
  <w15:docId w15:val="{3DF01A00-F865-43D7-9289-6FCD98CA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Мовля Максим Александрович</dc:creator>
  <cp:keywords/>
  <dc:description/>
  <cp:lastModifiedBy>Мовля Максим Александрович</cp:lastModifiedBy>
  <cp:revision>1</cp:revision>
  <dcterms:created xsi:type="dcterms:W3CDTF">2024-09-24T13:50:00Z</dcterms:created>
  <dcterms:modified xsi:type="dcterms:W3CDTF">2024-09-24T13:52:00Z</dcterms:modified>
</cp:coreProperties>
</file>