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Приложение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к постановлению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Серебряные Пруды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Московской области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от « 30 » декабря 2025 г.№ 2338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«Приложение </w:t>
      </w:r>
      <w:r>
        <w:rPr>
          <w:highlight w:val="none"/>
        </w:rPr>
        <w:t xml:space="preserve">к постановлению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Серебряные Пруды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Московской области </w:t>
      </w:r>
      <w:r>
        <w:rPr>
          <w:highlight w:val="none"/>
        </w:rPr>
        <w:t xml:space="preserve">от 19.03.2025г. № 463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(в редакции постановления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</w:t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от </w:t>
      </w:r>
      <w:r>
        <w:rPr>
          <w:highlight w:val="none"/>
        </w:rPr>
        <w:t xml:space="preserve">« 30 » декабря 2025 г. № 2338 </w:t>
      </w:r>
      <w:r>
        <w:rPr>
          <w:highlight w:val="none"/>
        </w:rPr>
        <w:t xml:space="preserve">)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sz w:val="16"/>
        </w:rPr>
      </w:pPr>
      <w:r>
        <w:rPr>
          <w:sz w:val="16"/>
          <w:highlight w:val="none"/>
        </w:rPr>
      </w:r>
      <w:r>
        <w:rPr>
          <w:sz w:val="16"/>
        </w:rPr>
      </w:r>
      <w:r/>
    </w:p>
    <w:p>
      <w:pPr>
        <w:pStyle w:val="639"/>
        <w:jc w:val="center"/>
        <w:tabs>
          <w:tab w:val="left" w:pos="6075" w:leader="none"/>
        </w:tabs>
        <w:rPr>
          <w:sz w:val="24"/>
          <w:highlight w:val="none"/>
        </w:rPr>
      </w:pPr>
      <w:r>
        <w:rPr>
          <w:sz w:val="24"/>
        </w:rPr>
        <w:t xml:space="preserve">Реестр бесхозяйного имущества муниципального округа Серебряные Пруды Московской области</w:t>
      </w:r>
      <w:r>
        <w:rPr>
          <w:sz w:val="24"/>
        </w:rPr>
      </w:r>
      <w:r/>
    </w:p>
    <w:p>
      <w:pPr>
        <w:pStyle w:val="639"/>
        <w:jc w:val="center"/>
        <w:tabs>
          <w:tab w:val="left" w:pos="6075" w:leader="none"/>
        </w:tabs>
        <w:rPr>
          <w:sz w:val="16"/>
        </w:rPr>
      </w:pPr>
      <w:r>
        <w:rPr>
          <w:sz w:val="16"/>
          <w:highlight w:val="none"/>
        </w:rPr>
      </w:r>
      <w:r>
        <w:rPr>
          <w:sz w:val="16"/>
        </w:rPr>
      </w:r>
      <w:r/>
    </w:p>
    <w:tbl>
      <w:tblPr>
        <w:tblW w:w="14882" w:type="dxa"/>
        <w:tblInd w:w="-34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8"/>
        <w:gridCol w:w="3351"/>
        <w:gridCol w:w="2551"/>
        <w:gridCol w:w="1559"/>
        <w:gridCol w:w="1134"/>
        <w:gridCol w:w="1843"/>
        <w:gridCol w:w="2268"/>
        <w:gridCol w:w="1559"/>
      </w:tblGrid>
      <w:tr>
        <w:trPr>
          <w:trHeight w:val="813"/>
        </w:trPr>
        <w:tc>
          <w:tcPr>
            <w:tcW w:w="618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/>
          </w:p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п/п</w:t>
            </w:r>
            <w:r/>
          </w:p>
        </w:tc>
        <w:tc>
          <w:tcPr>
            <w:tcW w:w="3351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/>
          </w:p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объекта</w:t>
            </w:r>
            <w:r/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Местоположение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Год строительства (при наличии)</w:t>
            </w:r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ID-номер 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Географические координаты</w:t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Площадь объекта, кв.м/ протяженность, м. 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Кадастровый номер</w:t>
            </w:r>
            <w:r/>
          </w:p>
        </w:tc>
      </w:tr>
      <w:tr>
        <w:trPr>
          <w:trHeight w:val="1136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pStyle w:val="639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1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Здание коровника</w:t>
            </w:r>
            <w:r>
              <w:rPr>
                <w:sz w:val="22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Московская область, Серебряно-Прудский район, </w:t>
            </w:r>
            <w:r>
              <w:rPr>
                <w:sz w:val="22"/>
              </w:rPr>
            </w:r>
            <w:r/>
          </w:p>
          <w:p>
            <w:pPr>
              <w:jc w:val="center"/>
            </w:pPr>
            <w:r>
              <w:rPr>
                <w:sz w:val="22"/>
              </w:rPr>
              <w:t xml:space="preserve">вблизи с. Подхожее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1969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tabs>
                <w:tab w:val="left" w:pos="6075" w:leader="none"/>
              </w:tabs>
            </w:pPr>
            <w:r>
              <w:rPr>
                <w:sz w:val="22"/>
                <w:szCs w:val="22"/>
              </w:rPr>
              <w:t xml:space="preserve">Без координат границ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1655,0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pStyle w:val="639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</w:tr>
      <w:tr>
        <w:trPr>
          <w:trHeight w:val="1179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2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Здание нежилого назначения </w:t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sz w:val="22"/>
              </w:rPr>
            </w:r>
            <w:r>
              <w:rPr>
                <w:rFonts w:ascii="Times New Roman" w:hAnsi="Times New Roman" w:cs="Times New Roman"/>
                <w:sz w:val="24"/>
              </w:rPr>
              <w:t xml:space="preserve">Московская область, городской округ Серебряные Пруды, </w:t>
            </w:r>
            <w:r/>
          </w:p>
          <w:p>
            <w:pPr>
              <w:jc w:val="center"/>
              <w:rPr>
                <w:sz w:val="22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с. Клёмово</w:t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  <w:t xml:space="preserve">54.547469, 38.737961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  <w:t xml:space="preserve">ориентировочно 400,0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283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left"/>
              <w:rPr>
                <w:sz w:val="22"/>
              </w:rPr>
            </w:pPr>
            <w:r>
              <w:rPr>
                <w:sz w:val="22"/>
              </w:rPr>
              <w:t xml:space="preserve">   3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highlight w:val="none"/>
              </w:rPr>
              <w:t xml:space="preserve">Гидротехническое сооружение - водоподъемная плотина (пешеходный переход) со зданием ГЭС</w:t>
            </w:r>
            <w:r>
              <w:rPr>
                <w:rFonts w:ascii="Times New Roman" w:hAnsi="Times New Roman" w:cs="Times New Roman"/>
                <w:sz w:val="24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Московская область, Серебряно-Прудский район,  д. Ливадия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1958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</w:rPr>
              <w:t xml:space="preserve">объем 1402 тыс.куб.м., площадь 210 тыс.кв.м., высота 7,2 м., длина 80 м., ширина 2,0 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283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4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 xml:space="preserve">Здание нежилого назначения</w:t>
            </w:r>
            <w:r>
              <w:rPr>
                <w:sz w:val="22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Московская область, городской округ Серебряные Пруды, д. Нижняя Пурловка, д.17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rFonts w:ascii="Times New Roman" w:hAnsi="Times New Roman" w:cs="Times New Roman"/>
                <w:sz w:val="22"/>
              </w:rPr>
              <w:t xml:space="preserve">54.446843, 38.748803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283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5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Автомобильная дорога (проезд к СНТ «Лобаново» от дороги д. Красновские Выселки)</w:t>
            </w:r>
            <w:r>
              <w:rPr>
                <w:sz w:val="22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Московская область, городской округ Серебряные Пруды, от кадастрового квартала 50:39:0060115 до границы СНТ «Лобаново» в кадастровом квартале 50:39:0060203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протяженность - 3 км., ширина - 5 м., покрытие - щебень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283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6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 xml:space="preserve">А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  <w:t xml:space="preserve">втомобильная дорога общего пользования местного значения от существующей дороги «Серебряные Пруды - Митякино» к СНТ «Родник-2011», СНТ «Кораблевка-2», СНТ «Кораблевка-3», СНТ «Кораблевка-4», СНТ «Кораблевка-5», СНТ «Кудесна»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</w:rPr>
            </w:r>
            <w:r>
              <w:rPr>
                <w:rFonts w:ascii="Times New Roman" w:hAnsi="Times New Roman" w:cs="Times New Roman"/>
                <w:sz w:val="22"/>
              </w:rPr>
              <w:t xml:space="preserve">Московская область, муниципальный округ Серебряные Пруды, от существующей дороги «Серебряные Пруды - Митякино»  к СНТ «Родник-2011», СНТ «Кораблевка-2», СНТ «Кораблевка-3», СНТ «Кораблевка-4», СНТ «Кораблевка-5», СНТ «Кудесна»</w:t>
            </w:r>
            <w:r>
              <w:rPr>
                <w:rFonts w:ascii="Times New Roman" w:hAnsi="Times New Roman" w:cs="Times New Roman"/>
                <w:sz w:val="22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  <w:t xml:space="preserve">протяженность - 3,789 км., ширина приблизительно</w:t>
            </w:r>
            <w:r>
              <w:rPr>
                <w:sz w:val="22"/>
                <w:lang w:val="en-US"/>
              </w:rPr>
              <w:t xml:space="preserve"> </w:t>
            </w:r>
            <w:r>
              <w:rPr>
                <w:sz w:val="22"/>
                <w:lang w:val="ru-RU"/>
              </w:rPr>
              <w:t xml:space="preserve">«+-»</w:t>
            </w:r>
            <w:r>
              <w:rPr>
                <w:sz w:val="22"/>
              </w:rPr>
              <w:t xml:space="preserve"> 6 м., покрытие - асфальт</w:t>
            </w:r>
            <w:r/>
          </w:p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7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  <w:t xml:space="preserve">Газопровод низкого давления вместе с СКЗ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</w:rPr>
            </w:r>
            <w:r>
              <w:rPr>
                <w:rFonts w:ascii="Times New Roman" w:hAnsi="Times New Roman" w:cs="Times New Roman"/>
                <w:sz w:val="22"/>
              </w:rPr>
              <w:t xml:space="preserve">Московская область, р.п. Серебряные Пруды, ул. Советская</w:t>
            </w:r>
            <w:r>
              <w:rPr>
                <w:rFonts w:ascii="Times New Roman" w:hAnsi="Times New Roman" w:cs="Times New Roman"/>
                <w:sz w:val="22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ориентировочно 1991 - 1992 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протяженность - 419,4 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8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Телятник на 318 голов,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общая долевая собственность 16/100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р-н Серебряно-Прудский,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п. Новоклемово</w:t>
            </w:r>
            <w:r>
              <w:rPr>
                <w:rFonts w:ascii="Times New Roman" w:hAnsi="Times New Roman" w:cs="Times New Roman"/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 площадь 277,76 кв.м.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50:39:0040202:446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9</w:t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Вид объекта недвижимости - помещение; назначение - жилое; наименование - квартира.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с. Колеймино,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д.36, кв.1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ориентировочно 1967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площадь ориентировочно </w:t>
            </w:r>
            <w:r>
              <w:rPr>
                <w:sz w:val="22"/>
              </w:rPr>
            </w:r>
            <w:r/>
          </w:p>
          <w:p>
            <w:pPr>
              <w:jc w:val="center"/>
            </w:pPr>
            <w:r>
              <w:rPr>
                <w:sz w:val="22"/>
              </w:rPr>
              <w:t xml:space="preserve">35.5 кв.м.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10</w:t>
            </w:r>
            <w:r>
              <w:rPr>
                <w:sz w:val="22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 ул. Полевая д. 21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1999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110,45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11</w:t>
            </w:r>
            <w:r>
              <w:rPr>
                <w:sz w:val="22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м.о. Серебряные Пруды, д. Коровино, д.74,75,78,79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2003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198,00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12</w:t>
            </w:r>
            <w:r>
              <w:rPr>
                <w:sz w:val="22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 вместе с 2 СКЗ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Заречный переулок, д.1-6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1990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187,40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13</w:t>
            </w:r>
            <w:r>
              <w:rPr>
                <w:sz w:val="22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м-н Северный, д.80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2012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70,90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r/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14</w:t>
            </w:r>
            <w:r>
              <w:rPr>
                <w:sz w:val="22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м-н Северный д.135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2012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53,70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15</w:t>
            </w:r>
            <w:r>
              <w:rPr>
                <w:sz w:val="22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Пруды, ул. Ленина, </w:t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 52,54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2002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116,50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6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16</w:t>
            </w:r>
            <w:r>
              <w:rPr>
                <w:sz w:val="22"/>
              </w:rPr>
            </w:r>
            <w:r/>
          </w:p>
        </w:tc>
        <w:tc>
          <w:tcPr>
            <w:tcW w:w="33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  <w:b w:val="false"/>
                <w:sz w:val="24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Подземный 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г.о Серебряные Пруды, рп Серебряные Пруды, ул Привокзальная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2010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</w:t>
            </w:r>
            <w:r/>
          </w:p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154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50:39:0050517:567</w:t>
            </w:r>
            <w:r>
              <w:rPr>
                <w:sz w:val="22"/>
              </w:rPr>
            </w:r>
            <w:r/>
          </w:p>
        </w:tc>
      </w:tr>
    </w:tbl>
    <w:p>
      <w:pPr>
        <w:jc w:val="left"/>
      </w:pPr>
      <w:r/>
      <w:r/>
    </w:p>
    <w:sectPr>
      <w:footnotePr/>
      <w:endnotePr/>
      <w:type w:val="nextPage"/>
      <w:pgSz w:w="16838" w:h="11906" w:orient="landscape"/>
      <w:pgMar w:top="709" w:right="964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927" w:hanging="360"/>
      </w:pPr>
      <w:rPr>
        <w:rFonts w:ascii="Times New Roman" w:hAnsi="Times New Roman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pStyle w:val="639"/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639"/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pStyle w:val="639"/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639"/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639"/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639"/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  <w:tabs>
          <w:tab w:val="num" w:pos="720" w:leader="none"/>
        </w:tabs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62">
    <w:name w:val="Heading 1"/>
    <w:link w:val="46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63">
    <w:name w:val="Heading 1 Char"/>
    <w:link w:val="462"/>
    <w:uiPriority w:val="9"/>
    <w:rPr>
      <w:rFonts w:ascii="Arial" w:hAnsi="Arial" w:cs="Arial" w:eastAsia="Arial"/>
      <w:sz w:val="40"/>
      <w:szCs w:val="40"/>
    </w:rPr>
  </w:style>
  <w:style w:type="paragraph" w:styleId="464">
    <w:name w:val="Heading 2"/>
    <w:link w:val="46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65">
    <w:name w:val="Heading 2 Char"/>
    <w:link w:val="464"/>
    <w:uiPriority w:val="9"/>
    <w:rPr>
      <w:rFonts w:ascii="Arial" w:hAnsi="Arial" w:cs="Arial" w:eastAsia="Arial"/>
      <w:sz w:val="34"/>
    </w:rPr>
  </w:style>
  <w:style w:type="paragraph" w:styleId="466">
    <w:name w:val="Heading 3"/>
    <w:link w:val="46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67">
    <w:name w:val="Heading 3 Char"/>
    <w:link w:val="466"/>
    <w:uiPriority w:val="9"/>
    <w:rPr>
      <w:rFonts w:ascii="Arial" w:hAnsi="Arial" w:cs="Arial" w:eastAsia="Arial"/>
      <w:sz w:val="30"/>
      <w:szCs w:val="30"/>
    </w:rPr>
  </w:style>
  <w:style w:type="paragraph" w:styleId="468">
    <w:name w:val="Heading 4"/>
    <w:link w:val="46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69">
    <w:name w:val="Heading 4 Char"/>
    <w:link w:val="468"/>
    <w:uiPriority w:val="9"/>
    <w:rPr>
      <w:rFonts w:ascii="Arial" w:hAnsi="Arial" w:cs="Arial" w:eastAsia="Arial"/>
      <w:b/>
      <w:bCs/>
      <w:sz w:val="26"/>
      <w:szCs w:val="26"/>
    </w:rPr>
  </w:style>
  <w:style w:type="paragraph" w:styleId="470">
    <w:name w:val="Heading 5"/>
    <w:link w:val="47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71">
    <w:name w:val="Heading 5 Char"/>
    <w:link w:val="470"/>
    <w:uiPriority w:val="9"/>
    <w:rPr>
      <w:rFonts w:ascii="Arial" w:hAnsi="Arial" w:cs="Arial" w:eastAsia="Arial"/>
      <w:b/>
      <w:bCs/>
      <w:sz w:val="24"/>
      <w:szCs w:val="24"/>
    </w:rPr>
  </w:style>
  <w:style w:type="paragraph" w:styleId="472">
    <w:name w:val="Heading 6"/>
    <w:link w:val="47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73">
    <w:name w:val="Heading 6 Char"/>
    <w:link w:val="472"/>
    <w:uiPriority w:val="9"/>
    <w:rPr>
      <w:rFonts w:ascii="Arial" w:hAnsi="Arial" w:cs="Arial" w:eastAsia="Arial"/>
      <w:b/>
      <w:bCs/>
      <w:sz w:val="22"/>
      <w:szCs w:val="22"/>
    </w:rPr>
  </w:style>
  <w:style w:type="paragraph" w:styleId="474">
    <w:name w:val="Heading 7"/>
    <w:link w:val="47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75">
    <w:name w:val="Heading 7 Char"/>
    <w:link w:val="47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76">
    <w:name w:val="Heading 8"/>
    <w:link w:val="47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77">
    <w:name w:val="Heading 8 Char"/>
    <w:link w:val="476"/>
    <w:uiPriority w:val="9"/>
    <w:rPr>
      <w:rFonts w:ascii="Arial" w:hAnsi="Arial" w:cs="Arial" w:eastAsia="Arial"/>
      <w:i/>
      <w:iCs/>
      <w:sz w:val="22"/>
      <w:szCs w:val="22"/>
    </w:rPr>
  </w:style>
  <w:style w:type="paragraph" w:styleId="478">
    <w:name w:val="Heading 9"/>
    <w:link w:val="47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79">
    <w:name w:val="Heading 9 Char"/>
    <w:link w:val="478"/>
    <w:uiPriority w:val="9"/>
    <w:rPr>
      <w:rFonts w:ascii="Arial" w:hAnsi="Arial" w:cs="Arial" w:eastAsia="Arial"/>
      <w:i/>
      <w:iCs/>
      <w:sz w:val="21"/>
      <w:szCs w:val="21"/>
    </w:rPr>
  </w:style>
  <w:style w:type="paragraph" w:styleId="480">
    <w:name w:val="List Paragraph"/>
    <w:qFormat/>
    <w:uiPriority w:val="34"/>
    <w:pPr>
      <w:contextualSpacing w:val="true"/>
      <w:ind w:left="720"/>
    </w:pPr>
  </w:style>
  <w:style w:type="paragraph" w:styleId="481">
    <w:name w:val="No Spacing"/>
    <w:qFormat/>
    <w:uiPriority w:val="1"/>
    <w:pPr>
      <w:spacing w:lineRule="auto" w:line="240" w:after="0" w:before="0"/>
    </w:pPr>
  </w:style>
  <w:style w:type="paragraph" w:styleId="482">
    <w:name w:val="Title"/>
    <w:link w:val="48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83">
    <w:name w:val="Title Char"/>
    <w:link w:val="482"/>
    <w:uiPriority w:val="10"/>
    <w:rPr>
      <w:sz w:val="48"/>
      <w:szCs w:val="48"/>
    </w:rPr>
  </w:style>
  <w:style w:type="paragraph" w:styleId="484">
    <w:name w:val="Subtitle"/>
    <w:link w:val="485"/>
    <w:qFormat/>
    <w:uiPriority w:val="11"/>
    <w:rPr>
      <w:sz w:val="24"/>
      <w:szCs w:val="24"/>
    </w:rPr>
    <w:pPr>
      <w:spacing w:after="200" w:before="200"/>
    </w:pPr>
  </w:style>
  <w:style w:type="character" w:styleId="485">
    <w:name w:val="Subtitle Char"/>
    <w:link w:val="484"/>
    <w:uiPriority w:val="11"/>
    <w:rPr>
      <w:sz w:val="24"/>
      <w:szCs w:val="24"/>
    </w:rPr>
  </w:style>
  <w:style w:type="paragraph" w:styleId="486">
    <w:name w:val="Quote"/>
    <w:link w:val="487"/>
    <w:qFormat/>
    <w:uiPriority w:val="29"/>
    <w:rPr>
      <w:i/>
    </w:rPr>
    <w:pPr>
      <w:ind w:left="720" w:right="720"/>
    </w:pPr>
  </w:style>
  <w:style w:type="character" w:styleId="487">
    <w:name w:val="Quote Char"/>
    <w:link w:val="486"/>
    <w:uiPriority w:val="29"/>
    <w:rPr>
      <w:i/>
    </w:rPr>
  </w:style>
  <w:style w:type="paragraph" w:styleId="488">
    <w:name w:val="Intense Quote"/>
    <w:link w:val="48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89">
    <w:name w:val="Intense Quote Char"/>
    <w:link w:val="488"/>
    <w:uiPriority w:val="30"/>
    <w:rPr>
      <w:i/>
    </w:rPr>
  </w:style>
  <w:style w:type="paragraph" w:styleId="490">
    <w:name w:val="Header"/>
    <w:link w:val="49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1">
    <w:name w:val="Header Char"/>
    <w:link w:val="490"/>
    <w:uiPriority w:val="99"/>
  </w:style>
  <w:style w:type="paragraph" w:styleId="492">
    <w:name w:val="Footer"/>
    <w:link w:val="49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3">
    <w:name w:val="Footer Char"/>
    <w:link w:val="492"/>
    <w:uiPriority w:val="99"/>
  </w:style>
  <w:style w:type="paragraph" w:styleId="494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95">
    <w:name w:val="Caption Char"/>
    <w:basedOn w:val="494"/>
    <w:link w:val="492"/>
    <w:uiPriority w:val="99"/>
  </w:style>
  <w:style w:type="table" w:styleId="496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7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8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9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0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01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03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0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11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12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13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14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15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16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17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8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9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0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1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2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3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4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25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26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27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28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29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30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31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32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33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34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35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36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37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38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39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40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41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42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43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4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5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60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61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62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63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64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65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66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7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8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9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0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1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2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3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4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5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6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7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8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9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0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1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2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3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4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5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6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7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88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89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90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91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92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93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94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95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96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97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98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99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600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601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02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03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04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05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06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07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08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09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10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11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12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13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14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15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16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17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18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19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20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21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22">
    <w:name w:val="Hyperlink"/>
    <w:uiPriority w:val="99"/>
    <w:unhideWhenUsed/>
    <w:rPr>
      <w:color w:val="0000FF" w:themeColor="hyperlink"/>
      <w:u w:val="single"/>
    </w:rPr>
  </w:style>
  <w:style w:type="paragraph" w:styleId="623">
    <w:name w:val="footnote text"/>
    <w:link w:val="624"/>
    <w:uiPriority w:val="99"/>
    <w:semiHidden/>
    <w:unhideWhenUsed/>
    <w:rPr>
      <w:sz w:val="18"/>
    </w:rPr>
    <w:pPr>
      <w:spacing w:lineRule="auto" w:line="240" w:after="40"/>
    </w:pPr>
  </w:style>
  <w:style w:type="character" w:styleId="624">
    <w:name w:val="Footnote Text Char"/>
    <w:link w:val="623"/>
    <w:uiPriority w:val="99"/>
    <w:rPr>
      <w:sz w:val="18"/>
    </w:rPr>
  </w:style>
  <w:style w:type="character" w:styleId="625">
    <w:name w:val="footnote reference"/>
    <w:uiPriority w:val="99"/>
    <w:unhideWhenUsed/>
    <w:rPr>
      <w:vertAlign w:val="superscript"/>
    </w:rPr>
  </w:style>
  <w:style w:type="paragraph" w:styleId="626">
    <w:name w:val="endnote text"/>
    <w:link w:val="627"/>
    <w:uiPriority w:val="99"/>
    <w:semiHidden/>
    <w:unhideWhenUsed/>
    <w:rPr>
      <w:sz w:val="20"/>
    </w:rPr>
    <w:pPr>
      <w:spacing w:lineRule="auto" w:line="240" w:after="0"/>
    </w:pPr>
  </w:style>
  <w:style w:type="character" w:styleId="627">
    <w:name w:val="Endnote Text Char"/>
    <w:link w:val="626"/>
    <w:uiPriority w:val="99"/>
    <w:rPr>
      <w:sz w:val="20"/>
    </w:rPr>
  </w:style>
  <w:style w:type="character" w:styleId="628">
    <w:name w:val="endnote reference"/>
    <w:uiPriority w:val="99"/>
    <w:semiHidden/>
    <w:unhideWhenUsed/>
    <w:rPr>
      <w:vertAlign w:val="superscript"/>
    </w:rPr>
  </w:style>
  <w:style w:type="paragraph" w:styleId="629">
    <w:name w:val="toc 1"/>
    <w:uiPriority w:val="39"/>
    <w:unhideWhenUsed/>
    <w:pPr>
      <w:ind w:left="0" w:right="0" w:firstLine="0"/>
      <w:spacing w:after="57"/>
    </w:pPr>
  </w:style>
  <w:style w:type="paragraph" w:styleId="630">
    <w:name w:val="toc 2"/>
    <w:uiPriority w:val="39"/>
    <w:unhideWhenUsed/>
    <w:pPr>
      <w:ind w:left="283" w:right="0" w:firstLine="0"/>
      <w:spacing w:after="57"/>
    </w:pPr>
  </w:style>
  <w:style w:type="paragraph" w:styleId="631">
    <w:name w:val="toc 3"/>
    <w:uiPriority w:val="39"/>
    <w:unhideWhenUsed/>
    <w:pPr>
      <w:ind w:left="567" w:right="0" w:firstLine="0"/>
      <w:spacing w:after="57"/>
    </w:pPr>
  </w:style>
  <w:style w:type="paragraph" w:styleId="632">
    <w:name w:val="toc 4"/>
    <w:uiPriority w:val="39"/>
    <w:unhideWhenUsed/>
    <w:pPr>
      <w:ind w:left="850" w:right="0" w:firstLine="0"/>
      <w:spacing w:after="57"/>
    </w:pPr>
  </w:style>
  <w:style w:type="paragraph" w:styleId="633">
    <w:name w:val="toc 5"/>
    <w:uiPriority w:val="39"/>
    <w:unhideWhenUsed/>
    <w:pPr>
      <w:ind w:left="1134" w:right="0" w:firstLine="0"/>
      <w:spacing w:after="57"/>
    </w:pPr>
  </w:style>
  <w:style w:type="paragraph" w:styleId="634">
    <w:name w:val="toc 6"/>
    <w:uiPriority w:val="39"/>
    <w:unhideWhenUsed/>
    <w:pPr>
      <w:ind w:left="1417" w:right="0" w:firstLine="0"/>
      <w:spacing w:after="57"/>
    </w:pPr>
  </w:style>
  <w:style w:type="paragraph" w:styleId="635">
    <w:name w:val="toc 7"/>
    <w:uiPriority w:val="39"/>
    <w:unhideWhenUsed/>
    <w:pPr>
      <w:ind w:left="1701" w:right="0" w:firstLine="0"/>
      <w:spacing w:after="57"/>
    </w:pPr>
  </w:style>
  <w:style w:type="paragraph" w:styleId="636">
    <w:name w:val="toc 8"/>
    <w:uiPriority w:val="39"/>
    <w:unhideWhenUsed/>
    <w:pPr>
      <w:ind w:left="1984" w:right="0" w:firstLine="0"/>
      <w:spacing w:after="57"/>
    </w:pPr>
  </w:style>
  <w:style w:type="paragraph" w:styleId="637">
    <w:name w:val="toc 9"/>
    <w:uiPriority w:val="39"/>
    <w:unhideWhenUsed/>
    <w:pPr>
      <w:ind w:left="2268" w:right="0" w:firstLine="0"/>
      <w:spacing w:after="57"/>
    </w:pPr>
  </w:style>
  <w:style w:type="paragraph" w:styleId="638">
    <w:name w:val="TOC Heading"/>
    <w:uiPriority w:val="39"/>
    <w:unhideWhenUsed/>
  </w:style>
  <w:style w:type="paragraph" w:styleId="639">
    <w:name w:val="Обычный"/>
    <w:next w:val="639"/>
    <w:link w:val="639"/>
    <w:rPr>
      <w:sz w:val="24"/>
      <w:szCs w:val="24"/>
      <w:lang w:val="ru-RU" w:bidi="ar-SA" w:eastAsia="ru-RU"/>
    </w:rPr>
  </w:style>
  <w:style w:type="paragraph" w:styleId="640">
    <w:name w:val="Заголовок 1"/>
    <w:basedOn w:val="639"/>
    <w:next w:val="639"/>
    <w:link w:val="653"/>
    <w:rPr>
      <w:rFonts w:ascii="Cambria" w:hAnsi="Cambria" w:eastAsia="Times New Roman"/>
      <w:b/>
      <w:bCs/>
      <w:sz w:val="32"/>
      <w:szCs w:val="32"/>
    </w:rPr>
    <w:pPr>
      <w:keepNext/>
      <w:spacing w:after="60" w:before="240"/>
      <w:outlineLvl w:val="0"/>
    </w:pPr>
  </w:style>
  <w:style w:type="character" w:styleId="641">
    <w:name w:val="Основной шрифт абзаца"/>
    <w:next w:val="641"/>
    <w:link w:val="639"/>
    <w:semiHidden/>
  </w:style>
  <w:style w:type="table" w:styleId="642">
    <w:name w:val="Обычная таблица"/>
    <w:next w:val="642"/>
    <w:link w:val="639"/>
    <w:semiHidden/>
    <w:tblPr/>
  </w:style>
  <w:style w:type="numbering" w:styleId="643">
    <w:name w:val="Нет списка"/>
    <w:next w:val="643"/>
    <w:link w:val="639"/>
    <w:semiHidden/>
  </w:style>
  <w:style w:type="paragraph" w:styleId="644">
    <w:name w:val="ConsPlusTitle"/>
    <w:next w:val="644"/>
    <w:link w:val="639"/>
    <w:rPr>
      <w:b/>
      <w:bCs/>
      <w:sz w:val="24"/>
      <w:szCs w:val="24"/>
      <w:lang w:val="ru-RU" w:bidi="ar-SA" w:eastAsia="ru-RU"/>
    </w:rPr>
    <w:pPr>
      <w:widowControl w:val="off"/>
    </w:pPr>
  </w:style>
  <w:style w:type="character" w:styleId="645">
    <w:name w:val="Гиперссылка"/>
    <w:next w:val="645"/>
    <w:link w:val="639"/>
    <w:rPr>
      <w:color w:val="0000FF"/>
      <w:u w:val="single"/>
    </w:rPr>
  </w:style>
  <w:style w:type="table" w:styleId="646">
    <w:name w:val="Сетка таблицы"/>
    <w:basedOn w:val="642"/>
    <w:next w:val="646"/>
    <w:link w:val="639"/>
    <w:tblPr/>
  </w:style>
  <w:style w:type="paragraph" w:styleId="647">
    <w:name w:val="Текст выноски"/>
    <w:basedOn w:val="639"/>
    <w:next w:val="647"/>
    <w:link w:val="639"/>
    <w:semiHidden/>
    <w:rPr>
      <w:rFonts w:ascii="Tahoma" w:hAnsi="Tahoma"/>
      <w:sz w:val="16"/>
      <w:szCs w:val="16"/>
    </w:rPr>
  </w:style>
  <w:style w:type="paragraph" w:styleId="648">
    <w:name w:val="Основной текст с отступом"/>
    <w:basedOn w:val="639"/>
    <w:next w:val="648"/>
    <w:link w:val="649"/>
    <w:rPr>
      <w:sz w:val="28"/>
    </w:rPr>
    <w:pPr>
      <w:ind w:left="240"/>
      <w:jc w:val="both"/>
    </w:pPr>
  </w:style>
  <w:style w:type="character" w:styleId="649">
    <w:name w:val="Основной текст с отступом Знак"/>
    <w:next w:val="649"/>
    <w:link w:val="648"/>
    <w:rPr>
      <w:sz w:val="28"/>
      <w:szCs w:val="24"/>
    </w:rPr>
  </w:style>
  <w:style w:type="character" w:styleId="650">
    <w:name w:val="apple-converted-space"/>
    <w:next w:val="650"/>
    <w:link w:val="639"/>
  </w:style>
  <w:style w:type="character" w:styleId="651">
    <w:name w:val="Строгий"/>
    <w:next w:val="651"/>
    <w:link w:val="639"/>
    <w:rPr>
      <w:b/>
      <w:bCs/>
    </w:rPr>
  </w:style>
  <w:style w:type="paragraph" w:styleId="652">
    <w:name w:val="Обычный (веб)"/>
    <w:basedOn w:val="639"/>
    <w:next w:val="652"/>
    <w:link w:val="639"/>
    <w:pPr>
      <w:spacing w:after="100" w:afterAutospacing="1" w:before="100" w:beforeAutospacing="1"/>
    </w:pPr>
  </w:style>
  <w:style w:type="character" w:styleId="653">
    <w:name w:val="Заголовок 1 Знак"/>
    <w:next w:val="653"/>
    <w:link w:val="640"/>
    <w:rPr>
      <w:rFonts w:ascii="Cambria" w:hAnsi="Cambria" w:eastAsia="Times New Roman"/>
      <w:b/>
      <w:bCs/>
      <w:sz w:val="32"/>
      <w:szCs w:val="32"/>
    </w:rPr>
  </w:style>
  <w:style w:type="character" w:styleId="654">
    <w:name w:val="Выделение"/>
    <w:next w:val="654"/>
    <w:link w:val="639"/>
    <w:rPr>
      <w:i/>
      <w:iCs/>
    </w:rPr>
  </w:style>
  <w:style w:type="paragraph" w:styleId="655">
    <w:name w:val="Абзац списка"/>
    <w:basedOn w:val="639"/>
    <w:next w:val="655"/>
    <w:link w:val="639"/>
    <w:rPr>
      <w:rFonts w:ascii="Calibri" w:hAnsi="Calibri" w:eastAsia="Calibri"/>
      <w:sz w:val="22"/>
      <w:szCs w:val="22"/>
      <w:lang w:eastAsia="en-US"/>
    </w:rPr>
    <w:pPr>
      <w:contextualSpacing w:val="true"/>
      <w:ind w:left="720"/>
      <w:spacing w:lineRule="auto" w:line="276" w:after="200"/>
    </w:pPr>
  </w:style>
  <w:style w:type="character" w:styleId="656" w:default="1">
    <w:name w:val="Default Paragraph Font"/>
    <w:uiPriority w:val="1"/>
    <w:semiHidden/>
    <w:unhideWhenUsed/>
  </w:style>
  <w:style w:type="numbering" w:styleId="657" w:default="1">
    <w:name w:val="No List"/>
    <w:uiPriority w:val="99"/>
    <w:semiHidden/>
    <w:unhideWhenUsed/>
  </w:style>
  <w:style w:type="paragraph" w:styleId="658" w:default="1">
    <w:name w:val="Normal"/>
    <w:qFormat/>
  </w:style>
  <w:style w:type="table" w:styleId="65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44</cp:revision>
  <dcterms:modified xsi:type="dcterms:W3CDTF">2026-02-12T07:46:23Z</dcterms:modified>
</cp:coreProperties>
</file>